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E1D" w:rsidRDefault="00792E1D" w:rsidP="00441FD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441FDC" w:rsidRPr="00792E1D" w:rsidRDefault="00441FDC" w:rsidP="00441FDC">
      <w:pPr>
        <w:rPr>
          <w:rFonts w:ascii="Times New Roman" w:hAnsi="Times New Roman" w:cs="Times New Roman"/>
          <w:color w:val="000000" w:themeColor="text1"/>
          <w:sz w:val="24"/>
        </w:rPr>
      </w:pPr>
      <w:r w:rsidRPr="00993144">
        <w:rPr>
          <w:rFonts w:ascii="Times New Roman" w:hAnsi="Times New Roman" w:cs="Times New Roman"/>
          <w:color w:val="000000" w:themeColor="text1"/>
          <w:sz w:val="24"/>
        </w:rPr>
        <w:t>Додаток до Довідки №_</w:t>
      </w:r>
      <w:r w:rsidR="00E65F9A">
        <w:rPr>
          <w:rFonts w:ascii="Times New Roman" w:hAnsi="Times New Roman" w:cs="Times New Roman"/>
          <w:color w:val="000000" w:themeColor="text1"/>
          <w:sz w:val="24"/>
        </w:rPr>
        <w:t>3</w:t>
      </w:r>
      <w:r w:rsidR="00792E1D">
        <w:rPr>
          <w:rFonts w:ascii="Times New Roman" w:hAnsi="Times New Roman" w:cs="Times New Roman"/>
          <w:color w:val="000000" w:themeColor="text1"/>
          <w:sz w:val="24"/>
        </w:rPr>
        <w:t xml:space="preserve"> про консультації проекту </w:t>
      </w:r>
      <w:proofErr w:type="spellStart"/>
      <w:r w:rsidR="00792E1D">
        <w:rPr>
          <w:rFonts w:ascii="Times New Roman" w:hAnsi="Times New Roman" w:cs="Times New Roman"/>
          <w:color w:val="000000" w:themeColor="text1"/>
          <w:sz w:val="24"/>
        </w:rPr>
        <w:t>ДПТв</w:t>
      </w:r>
      <w:proofErr w:type="spellEnd"/>
      <w:r w:rsidR="00792E1D">
        <w:rPr>
          <w:rFonts w:ascii="Times New Roman" w:hAnsi="Times New Roman" w:cs="Times New Roman"/>
          <w:color w:val="000000" w:themeColor="text1"/>
          <w:sz w:val="24"/>
        </w:rPr>
        <w:t xml:space="preserve"> присілку </w:t>
      </w:r>
      <w:proofErr w:type="spellStart"/>
      <w:r w:rsidR="00792E1D">
        <w:rPr>
          <w:rFonts w:ascii="Times New Roman" w:hAnsi="Times New Roman" w:cs="Times New Roman"/>
          <w:color w:val="000000" w:themeColor="text1"/>
          <w:sz w:val="24"/>
        </w:rPr>
        <w:t>Дженджерівкав</w:t>
      </w:r>
      <w:proofErr w:type="spellEnd"/>
      <w:r w:rsidR="00792E1D">
        <w:rPr>
          <w:rFonts w:ascii="Times New Roman" w:hAnsi="Times New Roman" w:cs="Times New Roman"/>
          <w:color w:val="000000" w:themeColor="text1"/>
          <w:sz w:val="24"/>
        </w:rPr>
        <w:t xml:space="preserve"> с. </w:t>
      </w:r>
      <w:proofErr w:type="spellStart"/>
      <w:r w:rsidR="00792E1D">
        <w:rPr>
          <w:rFonts w:ascii="Times New Roman" w:hAnsi="Times New Roman" w:cs="Times New Roman"/>
          <w:color w:val="000000" w:themeColor="text1"/>
          <w:sz w:val="24"/>
        </w:rPr>
        <w:t>Сілець</w:t>
      </w:r>
      <w:proofErr w:type="spellEnd"/>
    </w:p>
    <w:tbl>
      <w:tblPr>
        <w:tblStyle w:val="a5"/>
        <w:tblW w:w="15409" w:type="dxa"/>
        <w:tblInd w:w="-5" w:type="dxa"/>
        <w:tblLook w:val="04A0" w:firstRow="1" w:lastRow="0" w:firstColumn="1" w:lastColumn="0" w:noHBand="0" w:noVBand="1"/>
      </w:tblPr>
      <w:tblGrid>
        <w:gridCol w:w="616"/>
        <w:gridCol w:w="2662"/>
        <w:gridCol w:w="1389"/>
        <w:gridCol w:w="3916"/>
        <w:gridCol w:w="2757"/>
        <w:gridCol w:w="4063"/>
        <w:gridCol w:w="6"/>
      </w:tblGrid>
      <w:tr w:rsidR="00C97B1A" w:rsidRPr="003827CE" w:rsidTr="00A40069">
        <w:trPr>
          <w:gridAfter w:val="1"/>
          <w:wAfter w:w="6" w:type="dxa"/>
          <w:trHeight w:val="155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DC" w:rsidRPr="003827CE" w:rsidRDefault="00441FD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>№ з/п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DC" w:rsidRPr="003827CE" w:rsidRDefault="00441FD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>Уповноважений</w:t>
            </w:r>
            <w:proofErr w:type="spellEnd"/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 xml:space="preserve"> орган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DC" w:rsidRPr="003827CE" w:rsidRDefault="00441FD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>Редакція</w:t>
            </w:r>
            <w:proofErr w:type="spellEnd"/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>частини</w:t>
            </w:r>
            <w:proofErr w:type="spellEnd"/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 xml:space="preserve"> проекту ДПТ/</w:t>
            </w:r>
            <w:proofErr w:type="spellStart"/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>звіту</w:t>
            </w:r>
            <w:proofErr w:type="spellEnd"/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 xml:space="preserve"> про СЕО, до </w:t>
            </w:r>
            <w:proofErr w:type="spellStart"/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>якого</w:t>
            </w:r>
            <w:proofErr w:type="spellEnd"/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>висловлено</w:t>
            </w:r>
            <w:proofErr w:type="spellEnd"/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>зауваження</w:t>
            </w:r>
            <w:proofErr w:type="spellEnd"/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>пропозиції</w:t>
            </w:r>
            <w:proofErr w:type="spellEnd"/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DC" w:rsidRPr="003827CE" w:rsidRDefault="00441FDC">
            <w:pPr>
              <w:pStyle w:val="a4"/>
              <w:spacing w:before="0" w:beforeAutospacing="0" w:after="0" w:afterAutospacing="0"/>
              <w:ind w:firstLine="169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>Зауваження</w:t>
            </w:r>
            <w:proofErr w:type="spellEnd"/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>/</w:t>
            </w:r>
            <w:proofErr w:type="spellStart"/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>пропозиція</w:t>
            </w:r>
            <w:proofErr w:type="spellEnd"/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DC" w:rsidRPr="003827CE" w:rsidRDefault="00441FD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>Спосіб</w:t>
            </w:r>
            <w:proofErr w:type="spellEnd"/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>врахування</w:t>
            </w:r>
            <w:proofErr w:type="spellEnd"/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>(</w:t>
            </w:r>
            <w:proofErr w:type="spellStart"/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>враховано</w:t>
            </w:r>
            <w:proofErr w:type="spellEnd"/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 xml:space="preserve">/не </w:t>
            </w:r>
            <w:proofErr w:type="spellStart"/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>враховано</w:t>
            </w:r>
            <w:proofErr w:type="spellEnd"/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>/</w:t>
            </w:r>
            <w:proofErr w:type="spellStart"/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>враховано</w:t>
            </w:r>
            <w:proofErr w:type="spellEnd"/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>частково</w:t>
            </w:r>
            <w:proofErr w:type="spellEnd"/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DC" w:rsidRPr="003827CE" w:rsidRDefault="00441FDC" w:rsidP="002E1483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>При</w:t>
            </w:r>
            <w:r w:rsidR="002E1483" w:rsidRPr="003827CE">
              <w:rPr>
                <w:color w:val="000000" w:themeColor="text1"/>
                <w:sz w:val="20"/>
                <w:szCs w:val="20"/>
                <w:lang w:eastAsia="en-US"/>
              </w:rPr>
              <w:t>мі</w:t>
            </w:r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>тка</w:t>
            </w:r>
            <w:proofErr w:type="spellEnd"/>
          </w:p>
        </w:tc>
      </w:tr>
      <w:tr w:rsidR="00C97B1A" w:rsidRPr="003827CE" w:rsidTr="00A40069">
        <w:trPr>
          <w:trHeight w:val="419"/>
        </w:trPr>
        <w:tc>
          <w:tcPr>
            <w:tcW w:w="15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DC" w:rsidRPr="003827CE" w:rsidRDefault="000A3303">
            <w:pPr>
              <w:pStyle w:val="a4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3827CE">
              <w:rPr>
                <w:color w:val="000000" w:themeColor="text1"/>
                <w:sz w:val="20"/>
                <w:szCs w:val="20"/>
                <w:lang w:eastAsia="en-US"/>
              </w:rPr>
              <w:t xml:space="preserve">До </w:t>
            </w:r>
            <w:r w:rsidR="00441FDC" w:rsidRPr="003827CE">
              <w:rPr>
                <w:color w:val="000000" w:themeColor="text1"/>
                <w:sz w:val="20"/>
                <w:szCs w:val="20"/>
                <w:lang w:eastAsia="en-US"/>
              </w:rPr>
              <w:t>проекту ДДП</w:t>
            </w:r>
          </w:p>
        </w:tc>
      </w:tr>
      <w:tr w:rsidR="004C1E24" w:rsidRPr="0058416E" w:rsidTr="00A40069">
        <w:trPr>
          <w:gridAfter w:val="1"/>
          <w:wAfter w:w="6" w:type="dxa"/>
          <w:trHeight w:val="139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2702E2" w:rsidRDefault="004C1E24" w:rsidP="004C1E24">
            <w:pPr>
              <w:pStyle w:val="a4"/>
              <w:spacing w:before="0" w:after="0"/>
              <w:jc w:val="center"/>
              <w:rPr>
                <w:color w:val="000000" w:themeColor="text1"/>
                <w:sz w:val="20"/>
                <w:szCs w:val="20"/>
                <w:lang w:val="uk-UA" w:eastAsia="en-US"/>
              </w:rPr>
            </w:pPr>
            <w:r>
              <w:rPr>
                <w:color w:val="000000" w:themeColor="text1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Default="004C1E24" w:rsidP="004C1E24">
            <w:pPr>
              <w:pStyle w:val="a4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Міністерство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захисту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довкілля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природних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ресурсів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1D4864" w:rsidRDefault="004C1E24" w:rsidP="004C1E24">
            <w:pPr>
              <w:pStyle w:val="a4"/>
              <w:spacing w:before="0"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2702E2" w:rsidRDefault="004C1E24" w:rsidP="004C1E24">
            <w:pPr>
              <w:pStyle w:val="a4"/>
              <w:spacing w:after="0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Рішення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про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надання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дозволу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на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розроблення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Проекту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було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прийнято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Червоноградською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міською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радою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від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27.01.2022 № 1060,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тобто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після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набрання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чинності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Законом 711 та Порядком 926.</w:t>
            </w:r>
          </w:p>
          <w:p w:rsidR="004C1E24" w:rsidRPr="002702E2" w:rsidRDefault="004C1E24" w:rsidP="004C1E24">
            <w:pPr>
              <w:pStyle w:val="a4"/>
              <w:spacing w:after="0"/>
              <w:contextualSpacing/>
              <w:jc w:val="both"/>
              <w:rPr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Проте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, Проект не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відповідає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вимогам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Порядку 926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щодо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складу та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змісту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детального   плану  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території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.   </w:t>
            </w:r>
            <w:proofErr w:type="spellStart"/>
            <w:proofErr w:type="gram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Зокрема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,   </w:t>
            </w:r>
            <w:proofErr w:type="gram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з  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переліку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розділів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,  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передбачених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пунктом 89 Порядку 926, у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Проекті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наявний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лише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розділ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Землеустрій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землекористування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»,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який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оформлений як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окремий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том.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Відсутні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розділи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Природоохоронні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та ландшафтно-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рекреаційні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території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», «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Обмеження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у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використанні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земельних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ділянок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», «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Функціональне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зонування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території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детального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планування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» (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що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має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відповідати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Класифікатору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видів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функціонального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призначення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територій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їх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співвідношення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з видами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цільового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призначення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земельних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ділянок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далі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Класифікатор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ФПТ (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додаток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60 до Порядку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ведення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Державного земельного кадастру,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затвердженого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постановою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Кабінету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Міністрів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України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від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17.10.2012 № 1051) та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ін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2C3D96" w:rsidRDefault="004C1E24" w:rsidP="004C1E24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Враховано</w:t>
            </w:r>
            <w:proofErr w:type="spellEnd"/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2C3D96" w:rsidRDefault="004C1E24" w:rsidP="004C1E24">
            <w:pPr>
              <w:pStyle w:val="a4"/>
              <w:spacing w:before="0" w:beforeAutospacing="0" w:after="0" w:afterAutospacing="0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В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текстові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графічні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матеріали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детального плану внесено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доповнення</w:t>
            </w:r>
            <w:proofErr w:type="spellEnd"/>
          </w:p>
        </w:tc>
      </w:tr>
      <w:tr w:rsidR="004C1E24" w:rsidRPr="0058416E" w:rsidTr="00A40069">
        <w:trPr>
          <w:gridAfter w:val="1"/>
          <w:wAfter w:w="6" w:type="dxa"/>
          <w:trHeight w:val="139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2702E2" w:rsidRDefault="004C1E24" w:rsidP="004C1E24">
            <w:pPr>
              <w:pStyle w:val="a4"/>
              <w:spacing w:before="0"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Default="004C1E24" w:rsidP="004C1E24">
            <w:pPr>
              <w:pStyle w:val="a4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Міністерство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захисту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довкілля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природних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ресурсів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1D4864" w:rsidRDefault="004C1E24" w:rsidP="004C1E24">
            <w:pPr>
              <w:pStyle w:val="a4"/>
              <w:spacing w:before="0"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B84983" w:rsidRDefault="004C1E24" w:rsidP="004C1E24">
            <w:pPr>
              <w:pStyle w:val="a4"/>
              <w:spacing w:after="0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Перелік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графічних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матеріалів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Проекту не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відповідає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пункту 82 Порядку 926,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включаючи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відсутність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плану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функціонального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зонування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території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2C3D96" w:rsidRDefault="004C1E24" w:rsidP="004C1E24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Враховано</w:t>
            </w:r>
            <w:proofErr w:type="spellEnd"/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2C3D96" w:rsidRDefault="004C1E24" w:rsidP="004C1E24">
            <w:pPr>
              <w:pStyle w:val="a4"/>
              <w:spacing w:before="0" w:beforeAutospacing="0" w:after="0" w:afterAutospacing="0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В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графічні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матеріали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детального плану внесено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доповнення</w:t>
            </w:r>
            <w:proofErr w:type="spellEnd"/>
          </w:p>
        </w:tc>
      </w:tr>
      <w:tr w:rsidR="004C1E24" w:rsidRPr="002702E2" w:rsidTr="00A40069">
        <w:trPr>
          <w:gridAfter w:val="1"/>
          <w:wAfter w:w="6" w:type="dxa"/>
          <w:trHeight w:val="139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2702E2" w:rsidRDefault="004C1E24" w:rsidP="004C1E24">
            <w:pPr>
              <w:pStyle w:val="a4"/>
              <w:spacing w:before="0"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Default="004C1E24" w:rsidP="004C1E24">
            <w:pPr>
              <w:pStyle w:val="a4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Міністерство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захисту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довкілля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природних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ресурсів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1D4864" w:rsidRDefault="004C1E24" w:rsidP="004C1E24">
            <w:pPr>
              <w:pStyle w:val="a4"/>
              <w:spacing w:before="0"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B84983" w:rsidRDefault="004C1E24" w:rsidP="004C1E24">
            <w:pPr>
              <w:pStyle w:val="a4"/>
              <w:spacing w:after="0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У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зв'язку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із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зазначеним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, для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забезпечення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проведення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консультацій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відповідно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до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статті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13 Закону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України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«Про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стратегічну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екологічну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оцінку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»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пропонуємо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Виконавчому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комітету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Червоноградської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міської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ради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надати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Міндовкілля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Проект, склад та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зміст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якого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відповідає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Порядку 926 та Закону 711.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2C3D96" w:rsidRDefault="004C1E24" w:rsidP="004C1E24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Враховано</w:t>
            </w:r>
            <w:proofErr w:type="spellEnd"/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2C3D96" w:rsidRDefault="004C1E24" w:rsidP="004C1E24">
            <w:pPr>
              <w:pStyle w:val="a4"/>
              <w:spacing w:before="0" w:beforeAutospacing="0" w:after="0" w:afterAutospacing="0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C1E24" w:rsidRPr="002702E2" w:rsidTr="00A40069">
        <w:trPr>
          <w:gridAfter w:val="1"/>
          <w:wAfter w:w="6" w:type="dxa"/>
          <w:trHeight w:val="139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2702E2" w:rsidRDefault="004C1E24" w:rsidP="004C1E24">
            <w:pPr>
              <w:pStyle w:val="a4"/>
              <w:spacing w:before="0"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Default="004C1E24" w:rsidP="004C1E24">
            <w:pPr>
              <w:pStyle w:val="a4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Міністерство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захисту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довкілля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природних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ресурсів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1D4864" w:rsidRDefault="004C1E24" w:rsidP="004C1E24">
            <w:pPr>
              <w:pStyle w:val="a4"/>
              <w:spacing w:before="0"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2702E2" w:rsidRDefault="004C1E24" w:rsidP="004C1E24">
            <w:pPr>
              <w:pStyle w:val="a4"/>
              <w:spacing w:after="0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Титульна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назва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Проекту, де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вказано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про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розташування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індустріального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парку у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селі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Сілець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, не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відповідає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його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змісту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, де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зазначено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про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розташування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території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проектування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за межами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цього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населеного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пункту (див.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стор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11 та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ін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.).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Згідно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зі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статтею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19 Закону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України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«Про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регулювання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містобудівної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діяльності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»: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детальний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план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території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деталізує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положення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генерального плану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населеного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пункту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або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комплексного плану та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визначає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планувальну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організацію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і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розвиток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частини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території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населеного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пункту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або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території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за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його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межами без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зміни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функціонального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призначення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цієї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території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детальні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плани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територій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одночасно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з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їх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затвердженням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стають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невід'ємними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складовими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генерального плану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населеного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пункту та/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або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комплексного плану.</w:t>
            </w:r>
          </w:p>
          <w:p w:rsidR="004C1E24" w:rsidRPr="002702E2" w:rsidRDefault="004C1E24" w:rsidP="004C1E24">
            <w:pPr>
              <w:pStyle w:val="a4"/>
              <w:spacing w:after="0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Відповідно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до пункту 3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розділу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II «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Прикінцеві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перехідні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положення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» Закону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України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«Про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внесення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змін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до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деяких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законодавчих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актів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України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щодо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планування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використання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земель» до 1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січня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2025 року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детальні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плани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територій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щодо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територій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розташованих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за межами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населених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пунктів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стосовно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яких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не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затверджені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комплексні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плани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просторового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розвитку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територій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територіальних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громад,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можуть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розроблятися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затверджуватися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відповідно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до схем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планування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території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частини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території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) району та/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або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області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:rsidR="004C1E24" w:rsidRPr="002702E2" w:rsidRDefault="004C1E24" w:rsidP="004C1E24">
            <w:pPr>
              <w:pStyle w:val="a4"/>
              <w:spacing w:after="0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З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урахуванням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вищезгаданого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, у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Проекті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мають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бути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наведені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відомості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щодо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підтвердження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відповідності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його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рішень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наявній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містобудівній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документації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регіонального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рівня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(з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зазначенням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реквізитів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рішення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про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її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затвердження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2C3D96" w:rsidRDefault="004C1E24" w:rsidP="004C1E24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Враховано</w:t>
            </w:r>
            <w:proofErr w:type="spellEnd"/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2C3D96" w:rsidRDefault="004C1E24" w:rsidP="004C1E24">
            <w:pPr>
              <w:pStyle w:val="a4"/>
              <w:spacing w:before="0" w:beforeAutospacing="0" w:after="0" w:afterAutospacing="0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C1E24" w:rsidRPr="002702E2" w:rsidTr="00A40069">
        <w:trPr>
          <w:gridAfter w:val="1"/>
          <w:wAfter w:w="6" w:type="dxa"/>
          <w:trHeight w:val="139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2702E2" w:rsidRDefault="004C1E24" w:rsidP="004C1E24">
            <w:pPr>
              <w:pStyle w:val="a4"/>
              <w:spacing w:before="0"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Default="004C1E24" w:rsidP="004C1E24">
            <w:pPr>
              <w:pStyle w:val="a4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Міністерство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захисту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довкілля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природних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ресурсів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1D4864" w:rsidRDefault="004C1E24" w:rsidP="004C1E24">
            <w:pPr>
              <w:pStyle w:val="a4"/>
              <w:spacing w:before="0"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2702E2" w:rsidRDefault="004C1E24" w:rsidP="004C1E24">
            <w:pPr>
              <w:pStyle w:val="a4"/>
              <w:spacing w:after="0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Відповідно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до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частини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четвертої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статті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4 Закону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України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«Про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індустріальні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парки»,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функціонування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індустріальних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парків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спрямоване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зокрема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на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сталий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розвиток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захист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навколишнього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 природного </w:t>
            </w:r>
            <w:proofErr w:type="spellStart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>середовища</w:t>
            </w:r>
            <w:proofErr w:type="spellEnd"/>
            <w:r w:rsidRPr="002702E2">
              <w:rPr>
                <w:color w:val="000000" w:themeColor="text1"/>
                <w:sz w:val="20"/>
                <w:szCs w:val="20"/>
                <w:lang w:eastAsia="en-US"/>
              </w:rPr>
              <w:t xml:space="preserve">, а </w:t>
            </w:r>
            <w:proofErr w:type="spellStart"/>
            <w:r w:rsidRPr="00DF0CD6">
              <w:rPr>
                <w:color w:val="000000" w:themeColor="text1"/>
                <w:sz w:val="20"/>
                <w:szCs w:val="20"/>
                <w:lang w:eastAsia="en-US"/>
              </w:rPr>
              <w:t>згідно</w:t>
            </w:r>
            <w:proofErr w:type="spellEnd"/>
            <w:r w:rsidRPr="00DF0CD6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F0CD6">
              <w:rPr>
                <w:color w:val="000000" w:themeColor="text1"/>
                <w:sz w:val="20"/>
                <w:szCs w:val="20"/>
                <w:lang w:eastAsia="en-US"/>
              </w:rPr>
              <w:t>зі</w:t>
            </w:r>
            <w:proofErr w:type="spellEnd"/>
            <w:r w:rsidRPr="00DF0CD6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F0CD6">
              <w:rPr>
                <w:color w:val="000000" w:themeColor="text1"/>
                <w:sz w:val="20"/>
                <w:szCs w:val="20"/>
                <w:lang w:eastAsia="en-US"/>
              </w:rPr>
              <w:t>статтею</w:t>
            </w:r>
            <w:proofErr w:type="spellEnd"/>
            <w:r w:rsidRPr="00DF0CD6">
              <w:rPr>
                <w:color w:val="000000" w:themeColor="text1"/>
                <w:sz w:val="20"/>
                <w:szCs w:val="20"/>
                <w:lang w:eastAsia="en-US"/>
              </w:rPr>
              <w:t xml:space="preserve"> 9 </w:t>
            </w:r>
            <w:proofErr w:type="spellStart"/>
            <w:r w:rsidRPr="00DF0CD6">
              <w:rPr>
                <w:color w:val="000000" w:themeColor="text1"/>
                <w:sz w:val="20"/>
                <w:szCs w:val="20"/>
                <w:lang w:eastAsia="en-US"/>
              </w:rPr>
              <w:t>цього</w:t>
            </w:r>
            <w:proofErr w:type="spellEnd"/>
            <w:r w:rsidRPr="00DF0CD6">
              <w:rPr>
                <w:color w:val="000000" w:themeColor="text1"/>
                <w:sz w:val="20"/>
                <w:szCs w:val="20"/>
                <w:lang w:eastAsia="en-US"/>
              </w:rPr>
              <w:t xml:space="preserve"> Закону </w:t>
            </w:r>
            <w:proofErr w:type="spellStart"/>
            <w:r w:rsidRPr="00DF0CD6">
              <w:rPr>
                <w:color w:val="000000" w:themeColor="text1"/>
                <w:sz w:val="20"/>
                <w:szCs w:val="20"/>
                <w:lang w:eastAsia="en-US"/>
              </w:rPr>
              <w:t>використання</w:t>
            </w:r>
            <w:proofErr w:type="spellEnd"/>
            <w:r w:rsidRPr="00DF0CD6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F0CD6">
              <w:rPr>
                <w:color w:val="000000" w:themeColor="text1"/>
                <w:sz w:val="20"/>
                <w:szCs w:val="20"/>
                <w:lang w:eastAsia="en-US"/>
              </w:rPr>
              <w:t>земельних</w:t>
            </w:r>
            <w:proofErr w:type="spellEnd"/>
            <w:r w:rsidRPr="00DF0CD6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F0CD6">
              <w:rPr>
                <w:color w:val="000000" w:themeColor="text1"/>
                <w:sz w:val="20"/>
                <w:szCs w:val="20"/>
                <w:lang w:eastAsia="en-US"/>
              </w:rPr>
              <w:t>ділянок</w:t>
            </w:r>
            <w:proofErr w:type="spellEnd"/>
            <w:r w:rsidRPr="00DF0CD6">
              <w:rPr>
                <w:color w:val="000000" w:themeColor="text1"/>
                <w:sz w:val="20"/>
                <w:szCs w:val="20"/>
                <w:lang w:eastAsia="en-US"/>
              </w:rPr>
              <w:t xml:space="preserve"> у межах </w:t>
            </w:r>
            <w:proofErr w:type="spellStart"/>
            <w:r w:rsidRPr="00DF0CD6">
              <w:rPr>
                <w:color w:val="000000" w:themeColor="text1"/>
                <w:sz w:val="20"/>
                <w:szCs w:val="20"/>
                <w:lang w:eastAsia="en-US"/>
              </w:rPr>
              <w:t>індустріальних</w:t>
            </w:r>
            <w:proofErr w:type="spellEnd"/>
            <w:r w:rsidRPr="00DF0CD6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F0CD6">
              <w:rPr>
                <w:color w:val="000000" w:themeColor="text1"/>
                <w:sz w:val="20"/>
                <w:szCs w:val="20"/>
                <w:lang w:eastAsia="en-US"/>
              </w:rPr>
              <w:t>парків</w:t>
            </w:r>
            <w:proofErr w:type="spellEnd"/>
            <w:r w:rsidRPr="00DF0CD6">
              <w:rPr>
                <w:color w:val="000000" w:themeColor="text1"/>
                <w:sz w:val="20"/>
                <w:szCs w:val="20"/>
                <w:lang w:eastAsia="en-US"/>
              </w:rPr>
              <w:t xml:space="preserve"> повинно </w:t>
            </w:r>
            <w:proofErr w:type="spellStart"/>
            <w:r w:rsidRPr="00DF0CD6">
              <w:rPr>
                <w:color w:val="000000" w:themeColor="text1"/>
                <w:sz w:val="20"/>
                <w:szCs w:val="20"/>
                <w:lang w:eastAsia="en-US"/>
              </w:rPr>
              <w:t>відповідати</w:t>
            </w:r>
            <w:proofErr w:type="spellEnd"/>
            <w:r w:rsidRPr="00DF0CD6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F0CD6">
              <w:rPr>
                <w:color w:val="000000" w:themeColor="text1"/>
                <w:sz w:val="20"/>
                <w:szCs w:val="20"/>
                <w:lang w:eastAsia="en-US"/>
              </w:rPr>
              <w:t>санітарно-епідеміологічним</w:t>
            </w:r>
            <w:proofErr w:type="spellEnd"/>
            <w:r w:rsidRPr="00DF0CD6">
              <w:rPr>
                <w:color w:val="000000" w:themeColor="text1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DF0CD6">
              <w:rPr>
                <w:color w:val="000000" w:themeColor="text1"/>
                <w:sz w:val="20"/>
                <w:szCs w:val="20"/>
                <w:lang w:eastAsia="en-US"/>
              </w:rPr>
              <w:t>екологічним</w:t>
            </w:r>
            <w:proofErr w:type="spellEnd"/>
            <w:r w:rsidRPr="00DF0CD6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F0CD6">
              <w:rPr>
                <w:color w:val="000000" w:themeColor="text1"/>
                <w:sz w:val="20"/>
                <w:szCs w:val="20"/>
                <w:lang w:eastAsia="en-US"/>
              </w:rPr>
              <w:t>вимогам</w:t>
            </w:r>
            <w:proofErr w:type="spellEnd"/>
            <w:r w:rsidRPr="00DF0CD6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2C3D96" w:rsidRDefault="004C1E24" w:rsidP="004C1E24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Враховано</w:t>
            </w:r>
            <w:proofErr w:type="spellEnd"/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2C3D96" w:rsidRDefault="004C1E24" w:rsidP="004C1E24">
            <w:pPr>
              <w:pStyle w:val="a4"/>
              <w:spacing w:before="0" w:beforeAutospacing="0" w:after="0" w:afterAutospacing="0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C1E24" w:rsidRPr="002702E2" w:rsidTr="00A40069">
        <w:trPr>
          <w:gridAfter w:val="1"/>
          <w:wAfter w:w="6" w:type="dxa"/>
          <w:trHeight w:val="139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2702E2" w:rsidRDefault="004C1E24" w:rsidP="004C1E24">
            <w:pPr>
              <w:pStyle w:val="a4"/>
              <w:spacing w:before="0"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Default="004C1E24" w:rsidP="004C1E24">
            <w:pPr>
              <w:pStyle w:val="a4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Міністерство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захисту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довкілля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природних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ресурсів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1D4864" w:rsidRDefault="004C1E24" w:rsidP="004C1E24">
            <w:pPr>
              <w:pStyle w:val="a4"/>
              <w:spacing w:before="0"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7A0495" w:rsidRDefault="004C1E24" w:rsidP="004C1E24">
            <w:pPr>
              <w:pStyle w:val="a4"/>
              <w:spacing w:after="0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Відповідно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до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статті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54 Закону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України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«Про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землеустрій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» з метою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здійснення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заходів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з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рекультивації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порушених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земель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розробляються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робочі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проекти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землеустрою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:rsidR="004C1E24" w:rsidRPr="002702E2" w:rsidRDefault="004C1E24" w:rsidP="004C1E24">
            <w:pPr>
              <w:pStyle w:val="a4"/>
              <w:spacing w:after="0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Правила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розроблення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робочих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проектів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землеустрою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затверджені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постановою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Кабінету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Міністрів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України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від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02.02.2022 № 86.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2C3D96" w:rsidRDefault="004C1E24" w:rsidP="004C1E24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Буде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враховано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наступних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етапах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проектування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реалізації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положень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містобудівної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документації</w:t>
            </w:r>
            <w:proofErr w:type="spellEnd"/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2C3D96" w:rsidRDefault="004C1E24" w:rsidP="004C1E24">
            <w:pPr>
              <w:pStyle w:val="a4"/>
              <w:spacing w:before="0" w:beforeAutospacing="0" w:after="0" w:afterAutospacing="0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C1E24" w:rsidRPr="002702E2" w:rsidTr="00A40069">
        <w:trPr>
          <w:gridAfter w:val="1"/>
          <w:wAfter w:w="6" w:type="dxa"/>
          <w:trHeight w:val="139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2702E2" w:rsidRDefault="004C1E24" w:rsidP="004C1E24">
            <w:pPr>
              <w:pStyle w:val="a4"/>
              <w:spacing w:before="0"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Default="004C1E24" w:rsidP="004C1E24">
            <w:pPr>
              <w:pStyle w:val="a4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Міністерство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захисту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довкілля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природних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ресурсів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1D4864" w:rsidRDefault="004C1E24" w:rsidP="004C1E24">
            <w:pPr>
              <w:pStyle w:val="a4"/>
              <w:spacing w:before="0"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2702E2" w:rsidRDefault="004C1E24" w:rsidP="004C1E24">
            <w:pPr>
              <w:pStyle w:val="a4"/>
              <w:spacing w:after="0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У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Проекті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Звіті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потребують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додаткового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опрацювання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питання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врахування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і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дотримання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вимог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статей 60, 61 та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ін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. Земельного кодексу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України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, статей 80, 87, 88, 89 та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ін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. Водного кодексу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України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щодо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водоохоронних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зон (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далі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- ВЗ) і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прибережних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захисних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смуг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далі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- ПЗС),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охорони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водності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малих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річок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ін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.,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зокрема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вказавши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назви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детальні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характеристики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наявних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водних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об'єктів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забезпечивши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дотримання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нормативних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розмірів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ПЗС, режиму ВЗ і ПЗС,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тощо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2C3D96" w:rsidRDefault="004C1E24" w:rsidP="004C1E24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Буде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враховано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наступних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етапах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проектування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реалізації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положень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містобудівної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документації</w:t>
            </w:r>
            <w:proofErr w:type="spellEnd"/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2C3D96" w:rsidRDefault="004C1E24" w:rsidP="004C1E24">
            <w:pPr>
              <w:pStyle w:val="a4"/>
              <w:spacing w:before="0" w:beforeAutospacing="0" w:after="0" w:afterAutospacing="0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C1E24" w:rsidRPr="002702E2" w:rsidTr="00A40069">
        <w:trPr>
          <w:gridAfter w:val="1"/>
          <w:wAfter w:w="6" w:type="dxa"/>
          <w:trHeight w:val="139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2702E2" w:rsidRDefault="004C1E24" w:rsidP="004C1E24">
            <w:pPr>
              <w:pStyle w:val="a4"/>
              <w:spacing w:before="0"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Default="004C1E24" w:rsidP="004C1E24">
            <w:pPr>
              <w:pStyle w:val="a4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Міністерство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захисту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довкілля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природних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ресурсів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1D4864" w:rsidRDefault="004C1E24" w:rsidP="004C1E24">
            <w:pPr>
              <w:pStyle w:val="a4"/>
              <w:spacing w:before="0"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7A0495" w:rsidRDefault="004C1E24" w:rsidP="004C1E24">
            <w:pPr>
              <w:pStyle w:val="a4"/>
              <w:spacing w:after="0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Згідно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з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Класифікатором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ФПТ у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Проекті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серед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іншого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мають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бути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передбачені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назви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коди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видів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функціонального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призначення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території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Зокрема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слід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взяти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до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уваги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що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відповідно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до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Класифікатора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ФПТ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види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функціонального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призначення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території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: «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зелені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насадження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загального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користування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» (код 40301.0) та «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зелені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насадження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спеціального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призначення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» (код 40302.0),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які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належать до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класу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озеленені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території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» (код 03), а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також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вид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функціонального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призначення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території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поверхневі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води/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водні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об'єкти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» (код 40400.0)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виділяються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у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підгрупі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Природоохоронні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та ландшафтно-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рекреаційні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території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» (код 4).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2C3D96" w:rsidRDefault="004C1E24" w:rsidP="004C1E24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Враховано</w:t>
            </w:r>
            <w:proofErr w:type="spellEnd"/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2C3D96" w:rsidRDefault="004C1E24" w:rsidP="004C1E24">
            <w:pPr>
              <w:pStyle w:val="a4"/>
              <w:spacing w:before="0" w:beforeAutospacing="0" w:after="0" w:afterAutospacing="0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C1E24" w:rsidRPr="002702E2" w:rsidTr="00A40069">
        <w:trPr>
          <w:gridAfter w:val="1"/>
          <w:wAfter w:w="6" w:type="dxa"/>
          <w:trHeight w:val="139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2702E2" w:rsidRDefault="004C1E24" w:rsidP="004C1E24">
            <w:pPr>
              <w:pStyle w:val="a4"/>
              <w:spacing w:before="0"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Default="004C1E24" w:rsidP="004C1E24">
            <w:pPr>
              <w:pStyle w:val="a4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Міністерство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захисту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довкілля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природних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ресурсів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1D4864" w:rsidRDefault="004C1E24" w:rsidP="004C1E24">
            <w:pPr>
              <w:pStyle w:val="a4"/>
              <w:spacing w:before="0"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7A0495" w:rsidRDefault="004C1E24" w:rsidP="004C1E24">
            <w:pPr>
              <w:pStyle w:val="a4"/>
              <w:spacing w:after="0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У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Проекті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Звіті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необхідно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забезпечити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врахування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Державних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санітарних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правил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планування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забудови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населених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пунктів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затверджених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наказом МОЗ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від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19.06.1996 № 173,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зареєстрованих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Мін'юсті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24.07.1996 за № 379/1404,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зокрема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щодо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санітарно-захисних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зон та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озеленення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території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2C3D96" w:rsidRDefault="004C1E24" w:rsidP="004C1E24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Буде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враховано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наступних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етапах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проектування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реалізації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положень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містобудівної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документації</w:t>
            </w:r>
            <w:proofErr w:type="spellEnd"/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2C3D96" w:rsidRDefault="004C1E24" w:rsidP="004C1E24">
            <w:pPr>
              <w:pStyle w:val="a4"/>
              <w:spacing w:before="0" w:beforeAutospacing="0" w:after="0" w:afterAutospacing="0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C1E24" w:rsidRPr="003827CE" w:rsidTr="00A40069">
        <w:trPr>
          <w:gridAfter w:val="1"/>
          <w:wAfter w:w="6" w:type="dxa"/>
          <w:trHeight w:val="397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24" w:rsidRPr="000904CC" w:rsidRDefault="004C1E24" w:rsidP="004C1E24">
            <w:pPr>
              <w:pStyle w:val="a4"/>
              <w:spacing w:before="0" w:beforeAutospacing="0" w:after="0" w:afterAutospacing="0"/>
              <w:ind w:firstLine="169"/>
              <w:jc w:val="center"/>
              <w:rPr>
                <w:color w:val="FF0000"/>
                <w:sz w:val="20"/>
                <w:szCs w:val="20"/>
                <w:highlight w:val="yellow"/>
                <w:lang w:val="uk-UA"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                                                                                     </w:t>
            </w:r>
            <w:r w:rsidRPr="001E1623">
              <w:rPr>
                <w:color w:val="000000" w:themeColor="text1"/>
                <w:sz w:val="20"/>
                <w:szCs w:val="20"/>
                <w:lang w:eastAsia="en-US"/>
              </w:rPr>
              <w:t xml:space="preserve">До </w:t>
            </w:r>
            <w:proofErr w:type="spellStart"/>
            <w:r w:rsidRPr="001E1623">
              <w:rPr>
                <w:color w:val="000000" w:themeColor="text1"/>
                <w:sz w:val="20"/>
                <w:szCs w:val="20"/>
                <w:lang w:eastAsia="en-US"/>
              </w:rPr>
              <w:t>Звіту</w:t>
            </w:r>
            <w:proofErr w:type="spellEnd"/>
            <w:r w:rsidRPr="001E1623">
              <w:rPr>
                <w:color w:val="000000" w:themeColor="text1"/>
                <w:sz w:val="20"/>
                <w:szCs w:val="20"/>
                <w:lang w:eastAsia="en-US"/>
              </w:rPr>
              <w:t xml:space="preserve"> СЕО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0904CC" w:rsidRDefault="004C1E24" w:rsidP="004C1E24">
            <w:pPr>
              <w:pStyle w:val="a4"/>
              <w:spacing w:before="0" w:beforeAutospacing="0" w:after="0" w:afterAutospacing="0"/>
              <w:ind w:firstLine="169"/>
              <w:jc w:val="center"/>
              <w:rPr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4C1E24" w:rsidRPr="003B478A" w:rsidTr="00A40069">
        <w:trPr>
          <w:gridAfter w:val="1"/>
          <w:wAfter w:w="6" w:type="dxa"/>
          <w:trHeight w:val="78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Default="004C1E24" w:rsidP="004C1E2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Default="004C1E24" w:rsidP="004C1E24">
            <w:pPr>
              <w:pStyle w:val="a4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Міністерство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захисту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довкілля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природних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ресурсів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D57CBC" w:rsidRDefault="004C1E24" w:rsidP="004C1E24">
            <w:pPr>
              <w:pStyle w:val="a4"/>
              <w:spacing w:before="0" w:beforeAutospacing="0" w:after="0" w:afterAutospacing="0"/>
              <w:ind w:left="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7A0495" w:rsidRDefault="004C1E24" w:rsidP="004C1E24">
            <w:pPr>
              <w:pStyle w:val="a4"/>
              <w:spacing w:after="0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Відповідно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до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статті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48 Закону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України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«Про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охорону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земель» при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здійсненні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містобудівної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діяльності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необхідно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передбачити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заходи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щодо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4C1E24" w:rsidRPr="007A0495" w:rsidRDefault="004C1E24" w:rsidP="004C1E24">
            <w:pPr>
              <w:pStyle w:val="a4"/>
              <w:spacing w:after="0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максимального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збереження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площі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земельних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ділянок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з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ґрунтовим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і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рослинним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покривом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;</w:t>
            </w:r>
          </w:p>
          <w:p w:rsidR="004C1E24" w:rsidRPr="007A0495" w:rsidRDefault="004C1E24" w:rsidP="004C1E24">
            <w:pPr>
              <w:pStyle w:val="a4"/>
              <w:spacing w:after="0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зняття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складування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у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визначених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місцях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родючого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шару грунту з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наступним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використанням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його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для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поліпшення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малопродуктивних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угідь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рекультивації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земель та благоустрою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населених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пунктів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і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промислових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зон;</w:t>
            </w:r>
          </w:p>
          <w:p w:rsidR="004C1E24" w:rsidRPr="007A0495" w:rsidRDefault="004C1E24" w:rsidP="004C1E24">
            <w:pPr>
              <w:pStyle w:val="a4"/>
              <w:spacing w:after="0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недопущення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порушення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гідрологічного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режиму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земельних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ділянок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;</w:t>
            </w:r>
          </w:p>
          <w:p w:rsidR="004C1E24" w:rsidRPr="001967FA" w:rsidRDefault="004C1E24" w:rsidP="004C1E24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дотримання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екологічних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вимог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установлених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законодавством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України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, при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проектуванні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розміщенні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будівництві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об'єктів</w:t>
            </w:r>
            <w:proofErr w:type="spellEnd"/>
            <w:r w:rsidRPr="007A0495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Default="004C1E24" w:rsidP="004C1E24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Враховано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Default="004C1E24" w:rsidP="004C1E24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У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розділ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7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Звіту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про СЕО внесено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уточнення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</w:tr>
      <w:tr w:rsidR="004C1E24" w:rsidRPr="003B478A" w:rsidTr="00A40069">
        <w:trPr>
          <w:gridAfter w:val="1"/>
          <w:wAfter w:w="6" w:type="dxa"/>
          <w:trHeight w:val="78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Default="004C1E24" w:rsidP="004C1E2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Default="004C1E24" w:rsidP="004C1E24">
            <w:pPr>
              <w:pStyle w:val="a4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Міністерство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захисту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довкілля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природних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ресурсів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D57CBC" w:rsidRDefault="004C1E24" w:rsidP="004C1E24">
            <w:pPr>
              <w:pStyle w:val="a4"/>
              <w:spacing w:before="0" w:beforeAutospacing="0" w:after="0" w:afterAutospacing="0"/>
              <w:ind w:left="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7A0495" w:rsidRDefault="004C1E24" w:rsidP="004C1E24">
            <w:pPr>
              <w:pStyle w:val="a4"/>
              <w:spacing w:after="0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У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Проекті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Звіті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мають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бути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викладені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повні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коректні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відомості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щодо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природоохоронних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територій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об'єктів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виходячи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з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визначення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наведеного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у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підпункті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26 пункту 2 Порядку 926,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включаючи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інформацію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щодо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територій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зарезервованих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з метою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наступного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заповідання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, та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складових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структурних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елементів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екомережі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згідно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зі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статтею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5 Закону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України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«Про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екологічну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мережу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України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».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Default="004C1E24" w:rsidP="004C1E24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Враховано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6B3047" w:rsidRDefault="004C1E24" w:rsidP="004C1E24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  <w:lang w:val="uk-UA" w:eastAsia="en-US"/>
              </w:rPr>
            </w:pPr>
            <w:r w:rsidRPr="006B3047">
              <w:rPr>
                <w:color w:val="000000" w:themeColor="text1"/>
                <w:sz w:val="20"/>
                <w:szCs w:val="20"/>
                <w:lang w:val="uk-UA" w:eastAsia="en-US"/>
              </w:rPr>
              <w:t xml:space="preserve">Території та об’єкти природно-заповідного фонду, їх функціональні та охоронні зони, території, зарезервовані з метою наступного їх заповідання, об’єкти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val="uk-UA" w:eastAsia="en-US"/>
              </w:rPr>
              <w:t>екомережі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val="uk-UA" w:eastAsia="en-US"/>
              </w:rPr>
              <w:t>, території Смарагдової мережі, водно-болотні угіддя міжнародного значення, біосферні резервати програми ЮНЕСКО “Людина і біосфера”, об’єкти всесвітньої спадщини ЮНЕСКО на території проектування та в її найближчих околицях відсутні.</w:t>
            </w:r>
          </w:p>
        </w:tc>
      </w:tr>
      <w:tr w:rsidR="004C1E24" w:rsidRPr="003B478A" w:rsidTr="00A40069">
        <w:trPr>
          <w:gridAfter w:val="1"/>
          <w:wAfter w:w="6" w:type="dxa"/>
          <w:trHeight w:val="78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Default="004C1E24" w:rsidP="004C1E2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Default="004C1E24" w:rsidP="004C1E24">
            <w:pPr>
              <w:pStyle w:val="a4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Міністерство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захисту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довкілля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природних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ресурсів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D57CBC" w:rsidRDefault="004C1E24" w:rsidP="004C1E24">
            <w:pPr>
              <w:pStyle w:val="a4"/>
              <w:spacing w:before="0" w:beforeAutospacing="0" w:after="0" w:afterAutospacing="0"/>
              <w:ind w:left="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7A0495" w:rsidRDefault="004C1E24" w:rsidP="004C1E24">
            <w:pPr>
              <w:pStyle w:val="a4"/>
              <w:spacing w:after="0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У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Звіті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мають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бути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наведенні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характеристики стану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всіх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складових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довкілля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визначених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статтею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1 Закону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України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«Про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стратегічну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екологічну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оцінку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» (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флори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фауни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біорізноманіття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ґрунту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надр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клімату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повітря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, води, ландшафту,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природних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територій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об'єктів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безпеки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життєдіяльності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населення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його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здоров'я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матеріальних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активів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об'єктів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культурної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спадщини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), а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також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опис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наслідків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для них та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взаємодії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цих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факторів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Зокрема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, у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розділі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2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Звіту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не наведена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інформація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щодо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біорізноманіття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флори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фауни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матеріальних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активів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безпеки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життєдіяльності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населення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його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здоров'я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2C3D96" w:rsidRDefault="004C1E24" w:rsidP="004C1E24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2C3D96">
              <w:rPr>
                <w:color w:val="000000" w:themeColor="text1"/>
                <w:sz w:val="20"/>
                <w:szCs w:val="20"/>
                <w:lang w:eastAsia="en-US"/>
              </w:rPr>
              <w:t>Враховано</w:t>
            </w:r>
            <w:proofErr w:type="spellEnd"/>
            <w:r w:rsidRPr="002C3D96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C3D96">
              <w:rPr>
                <w:color w:val="000000" w:themeColor="text1"/>
                <w:sz w:val="20"/>
                <w:szCs w:val="20"/>
                <w:lang w:eastAsia="en-US"/>
              </w:rPr>
              <w:t>частково</w:t>
            </w:r>
            <w:proofErr w:type="spellEnd"/>
            <w:r w:rsidRPr="002C3D96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Default="004C1E24" w:rsidP="004C1E24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При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аналізі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оцінці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поточного стану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навколишнього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середовища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були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використані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статистичні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дані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офіційні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дані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обласних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органів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виконавчої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влади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що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реалізують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державну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політику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у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сфері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охорони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навколишнього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природного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середовища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реалізують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політику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у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сфері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охорони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здоров’я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Основними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джерелами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інформації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були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Звіт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про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результати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моніторингу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природного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довкілля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Львівщини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Екологічний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паспорт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Львівської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області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Регіональна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доповідь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про стан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навколишнього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середовища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у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Львівській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області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статистичний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щорічник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Львівської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області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статистичний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збірник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Довкілля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Львівської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області</w:t>
            </w:r>
            <w:proofErr w:type="spellEnd"/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:rsidR="004C1E24" w:rsidRPr="002E1483" w:rsidRDefault="004C1E24" w:rsidP="004C1E24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Зважаючи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фактичну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відсутність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статистичних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екологічних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даних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розрізі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окремих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населених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пунктів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територіальних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громад,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було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використано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інформацію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розрізі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колишнього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АТУ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Львівської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області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, 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саме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колишнього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Сокальського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району.</w:t>
            </w:r>
          </w:p>
        </w:tc>
      </w:tr>
      <w:tr w:rsidR="004C1E24" w:rsidRPr="003B478A" w:rsidTr="00A40069">
        <w:trPr>
          <w:gridAfter w:val="1"/>
          <w:wAfter w:w="6" w:type="dxa"/>
          <w:trHeight w:val="78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Default="004C1E24" w:rsidP="004C1E2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Default="004C1E24" w:rsidP="004C1E24">
            <w:pPr>
              <w:pStyle w:val="a4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Міністерство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захисту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довкілля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природних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ресурсів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D57CBC" w:rsidRDefault="004C1E24" w:rsidP="004C1E24">
            <w:pPr>
              <w:pStyle w:val="a4"/>
              <w:spacing w:before="0" w:beforeAutospacing="0" w:after="0" w:afterAutospacing="0"/>
              <w:ind w:left="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BE1D3C" w:rsidRDefault="004C1E24" w:rsidP="004C1E24">
            <w:pPr>
              <w:pStyle w:val="a4"/>
              <w:spacing w:after="0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У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розділі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8 «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Обґрунтування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вибору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виправданих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альтернатив,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що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розглядалися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опис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способу, в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який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здійснювалася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стратегічна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екологічна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оцінка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, у тому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числі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будь-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які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ускладнення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недостатність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інформації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тощо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)»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Звіту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розглянуто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лише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одну альтернативу, а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саме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нульовий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сценарій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:rsidR="004C1E24" w:rsidRPr="00BE1D3C" w:rsidRDefault="004C1E24" w:rsidP="004C1E24">
            <w:pPr>
              <w:pStyle w:val="a4"/>
              <w:spacing w:after="0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Відсутність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опису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альтернативних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сценаріїв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не дозволить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виконати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вимогу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статті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13 Закону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України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«Про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стратегічну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екологічну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оцінку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» ,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відповідно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до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якої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замовник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у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довідці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про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консультації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обґрунтовує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обрання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саме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цього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документа державного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планування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у тому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вигляді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, в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якому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він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запропонований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до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затвердження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серед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інших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виправданих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альтернатив,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представлених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 xml:space="preserve"> до </w:t>
            </w:r>
            <w:proofErr w:type="spellStart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розгляду</w:t>
            </w:r>
            <w:proofErr w:type="spellEnd"/>
            <w:r w:rsidRPr="00BE1D3C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2C3D96" w:rsidRDefault="004C1E24" w:rsidP="004C1E24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2C3D96">
              <w:rPr>
                <w:color w:val="000000" w:themeColor="text1"/>
                <w:sz w:val="20"/>
                <w:szCs w:val="20"/>
                <w:lang w:eastAsia="en-US"/>
              </w:rPr>
              <w:t>Враховано</w:t>
            </w:r>
            <w:proofErr w:type="spellEnd"/>
            <w:r w:rsidRPr="002C3D96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C3D96">
              <w:rPr>
                <w:color w:val="000000" w:themeColor="text1"/>
                <w:sz w:val="20"/>
                <w:szCs w:val="20"/>
                <w:lang w:eastAsia="en-US"/>
              </w:rPr>
              <w:t>частково</w:t>
            </w:r>
            <w:proofErr w:type="spellEnd"/>
            <w:r w:rsidRPr="002C3D96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Default="004C1E24" w:rsidP="004C1E24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Кабінет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Міністрів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України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22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вересня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2021 року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схвалив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концепцію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Державної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цільової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програми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справедливої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трансформації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вугільних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регіонів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України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на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періо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д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до 2030 року.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Програма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охоплює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зокрема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, 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близько</w:t>
            </w:r>
            <w:proofErr w:type="spellEnd"/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20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територіальні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громад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и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у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Львівській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області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Процес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трансформації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економіки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вугільних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регіонів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має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базуватися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на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соціально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прийнятних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підходах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з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урахуванням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економічної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доцільності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наявної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інфраструктури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, а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також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спиратися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на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досвід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європейських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країн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</w:t>
            </w:r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днією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із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ключових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проблем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вугільних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регіонів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є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низький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рівень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диверсифікації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локальної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економіки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що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стримує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залучення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інвестицій</w:t>
            </w:r>
            <w:proofErr w:type="spellEnd"/>
            <w:r w:rsidRPr="006B3047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Відповідно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, проект ДПТ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повністю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відповідає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концепції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Програми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та з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огляду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це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було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прийнято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до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розгляду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лише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дві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альтернативи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проекту.</w:t>
            </w:r>
          </w:p>
        </w:tc>
      </w:tr>
      <w:tr w:rsidR="004C1E24" w:rsidRPr="003B478A" w:rsidTr="00A40069">
        <w:trPr>
          <w:gridAfter w:val="1"/>
          <w:wAfter w:w="6" w:type="dxa"/>
          <w:trHeight w:val="78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Default="004C1E24" w:rsidP="004C1E2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Default="004C1E24" w:rsidP="004C1E24">
            <w:pPr>
              <w:pStyle w:val="a4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Міністерство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захисту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довкілля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природних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ресурсів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D57CBC" w:rsidRDefault="004C1E24" w:rsidP="004C1E24">
            <w:pPr>
              <w:pStyle w:val="a4"/>
              <w:spacing w:before="0" w:beforeAutospacing="0" w:after="0" w:afterAutospacing="0"/>
              <w:ind w:left="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Pr="00BE1D3C" w:rsidRDefault="004C1E24" w:rsidP="004C1E24">
            <w:pPr>
              <w:pStyle w:val="a4"/>
              <w:spacing w:after="0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>Інформація</w:t>
            </w:r>
            <w:proofErr w:type="spellEnd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>розділу</w:t>
            </w:r>
            <w:proofErr w:type="spellEnd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 xml:space="preserve"> 9 «Заходи, </w:t>
            </w:r>
            <w:proofErr w:type="spellStart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>передбачені</w:t>
            </w:r>
            <w:proofErr w:type="spellEnd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 xml:space="preserve"> для </w:t>
            </w:r>
            <w:proofErr w:type="spellStart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>здійснення</w:t>
            </w:r>
            <w:proofErr w:type="spellEnd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>моніторингу</w:t>
            </w:r>
            <w:proofErr w:type="spellEnd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>наслідків</w:t>
            </w:r>
            <w:proofErr w:type="spellEnd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>виконання</w:t>
            </w:r>
            <w:proofErr w:type="spellEnd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 xml:space="preserve"> документа державного </w:t>
            </w:r>
            <w:proofErr w:type="spellStart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>планування</w:t>
            </w:r>
            <w:proofErr w:type="spellEnd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 xml:space="preserve"> для </w:t>
            </w:r>
            <w:proofErr w:type="spellStart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>довкілля</w:t>
            </w:r>
            <w:proofErr w:type="spellEnd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 xml:space="preserve">, у тому </w:t>
            </w:r>
            <w:proofErr w:type="spellStart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>числі</w:t>
            </w:r>
            <w:proofErr w:type="spellEnd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 xml:space="preserve"> для </w:t>
            </w:r>
            <w:proofErr w:type="spellStart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>здоров'я</w:t>
            </w:r>
            <w:proofErr w:type="spellEnd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>населення</w:t>
            </w:r>
            <w:proofErr w:type="spellEnd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 xml:space="preserve">» </w:t>
            </w:r>
            <w:proofErr w:type="spellStart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>Звіту</w:t>
            </w:r>
            <w:proofErr w:type="spellEnd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>має</w:t>
            </w:r>
            <w:proofErr w:type="spellEnd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 xml:space="preserve"> бути приведена у </w:t>
            </w:r>
            <w:proofErr w:type="spellStart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>відповідність</w:t>
            </w:r>
            <w:proofErr w:type="spellEnd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 xml:space="preserve"> до </w:t>
            </w:r>
            <w:proofErr w:type="spellStart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>вимог</w:t>
            </w:r>
            <w:proofErr w:type="spellEnd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 xml:space="preserve"> пункту 5 Порядку </w:t>
            </w:r>
            <w:proofErr w:type="spellStart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>здійснення</w:t>
            </w:r>
            <w:proofErr w:type="spellEnd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>моніторингу</w:t>
            </w:r>
            <w:proofErr w:type="spellEnd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>наслідків</w:t>
            </w:r>
            <w:proofErr w:type="spellEnd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>виконання</w:t>
            </w:r>
            <w:proofErr w:type="spellEnd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 xml:space="preserve"> документа державного </w:t>
            </w:r>
            <w:proofErr w:type="spellStart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>планування</w:t>
            </w:r>
            <w:proofErr w:type="spellEnd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 xml:space="preserve"> для </w:t>
            </w:r>
            <w:proofErr w:type="spellStart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>довкілля</w:t>
            </w:r>
            <w:proofErr w:type="spellEnd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 xml:space="preserve">, у тому </w:t>
            </w:r>
            <w:proofErr w:type="spellStart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>числі</w:t>
            </w:r>
            <w:proofErr w:type="spellEnd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 xml:space="preserve"> для </w:t>
            </w:r>
            <w:proofErr w:type="spellStart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>здоров'я</w:t>
            </w:r>
            <w:proofErr w:type="spellEnd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>населення</w:t>
            </w:r>
            <w:proofErr w:type="spellEnd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>затвердженого</w:t>
            </w:r>
            <w:proofErr w:type="spellEnd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>постановою</w:t>
            </w:r>
            <w:proofErr w:type="spellEnd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>Кабінету</w:t>
            </w:r>
            <w:proofErr w:type="spellEnd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>Міністрів</w:t>
            </w:r>
            <w:proofErr w:type="spellEnd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>України</w:t>
            </w:r>
            <w:proofErr w:type="spellEnd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>від</w:t>
            </w:r>
            <w:proofErr w:type="spellEnd"/>
            <w:r w:rsidRPr="004B1532">
              <w:rPr>
                <w:color w:val="000000" w:themeColor="text1"/>
                <w:sz w:val="20"/>
                <w:szCs w:val="20"/>
                <w:lang w:eastAsia="en-US"/>
              </w:rPr>
              <w:t xml:space="preserve"> 16.12.2020 № 1272.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Default="004C1E24" w:rsidP="004C1E24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Враховано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24" w:rsidRDefault="004C1E24" w:rsidP="004C1E24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У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розділ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9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Звіту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про СЕО внесено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виправлення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</w:tr>
    </w:tbl>
    <w:p w:rsidR="00C00DAF" w:rsidRDefault="00C00DAF" w:rsidP="00C00DAF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93632C" w:rsidRPr="00A13153" w:rsidRDefault="0093632C" w:rsidP="00601D47">
      <w:pPr>
        <w:pStyle w:val="a4"/>
        <w:spacing w:after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93632C" w:rsidRPr="00A13153" w:rsidSect="00441FDC">
      <w:pgSz w:w="16838" w:h="11906" w:orient="landscape"/>
      <w:pgMar w:top="709" w:right="850" w:bottom="56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B"/>
    <w:multiLevelType w:val="hybridMultilevel"/>
    <w:tmpl w:val="1190CDE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C"/>
    <w:multiLevelType w:val="hybridMultilevel"/>
    <w:tmpl w:val="66EF438C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1AF51F6"/>
    <w:multiLevelType w:val="hybridMultilevel"/>
    <w:tmpl w:val="1190CDE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1C1E52E9"/>
    <w:multiLevelType w:val="hybridMultilevel"/>
    <w:tmpl w:val="DF00C81A"/>
    <w:lvl w:ilvl="0" w:tplc="2B1670E8">
      <w:start w:val="1"/>
      <w:numFmt w:val="decimal"/>
      <w:lvlText w:val="%1."/>
      <w:lvlJc w:val="left"/>
      <w:pPr>
        <w:ind w:left="135" w:hanging="7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0"/>
        <w:szCs w:val="20"/>
        <w:lang w:val="uk-UA" w:eastAsia="en-US" w:bidi="ar-SA"/>
      </w:rPr>
    </w:lvl>
    <w:lvl w:ilvl="1" w:tplc="80629254">
      <w:numFmt w:val="bullet"/>
      <w:lvlText w:val="•"/>
      <w:lvlJc w:val="left"/>
      <w:pPr>
        <w:ind w:left="1138" w:hanging="703"/>
      </w:pPr>
      <w:rPr>
        <w:rFonts w:hint="default"/>
        <w:lang w:val="uk-UA" w:eastAsia="en-US" w:bidi="ar-SA"/>
      </w:rPr>
    </w:lvl>
    <w:lvl w:ilvl="2" w:tplc="4A807FCE">
      <w:numFmt w:val="bullet"/>
      <w:lvlText w:val="•"/>
      <w:lvlJc w:val="left"/>
      <w:pPr>
        <w:ind w:left="2136" w:hanging="703"/>
      </w:pPr>
      <w:rPr>
        <w:rFonts w:hint="default"/>
        <w:lang w:val="uk-UA" w:eastAsia="en-US" w:bidi="ar-SA"/>
      </w:rPr>
    </w:lvl>
    <w:lvl w:ilvl="3" w:tplc="A260B49E">
      <w:numFmt w:val="bullet"/>
      <w:lvlText w:val="•"/>
      <w:lvlJc w:val="left"/>
      <w:pPr>
        <w:ind w:left="3134" w:hanging="703"/>
      </w:pPr>
      <w:rPr>
        <w:rFonts w:hint="default"/>
        <w:lang w:val="uk-UA" w:eastAsia="en-US" w:bidi="ar-SA"/>
      </w:rPr>
    </w:lvl>
    <w:lvl w:ilvl="4" w:tplc="C812DFE0">
      <w:numFmt w:val="bullet"/>
      <w:lvlText w:val="•"/>
      <w:lvlJc w:val="left"/>
      <w:pPr>
        <w:ind w:left="4132" w:hanging="703"/>
      </w:pPr>
      <w:rPr>
        <w:rFonts w:hint="default"/>
        <w:lang w:val="uk-UA" w:eastAsia="en-US" w:bidi="ar-SA"/>
      </w:rPr>
    </w:lvl>
    <w:lvl w:ilvl="5" w:tplc="33FE1F70">
      <w:numFmt w:val="bullet"/>
      <w:lvlText w:val="•"/>
      <w:lvlJc w:val="left"/>
      <w:pPr>
        <w:ind w:left="5130" w:hanging="703"/>
      </w:pPr>
      <w:rPr>
        <w:rFonts w:hint="default"/>
        <w:lang w:val="uk-UA" w:eastAsia="en-US" w:bidi="ar-SA"/>
      </w:rPr>
    </w:lvl>
    <w:lvl w:ilvl="6" w:tplc="662E4A86">
      <w:numFmt w:val="bullet"/>
      <w:lvlText w:val="•"/>
      <w:lvlJc w:val="left"/>
      <w:pPr>
        <w:ind w:left="6128" w:hanging="703"/>
      </w:pPr>
      <w:rPr>
        <w:rFonts w:hint="default"/>
        <w:lang w:val="uk-UA" w:eastAsia="en-US" w:bidi="ar-SA"/>
      </w:rPr>
    </w:lvl>
    <w:lvl w:ilvl="7" w:tplc="43488BF2">
      <w:numFmt w:val="bullet"/>
      <w:lvlText w:val="•"/>
      <w:lvlJc w:val="left"/>
      <w:pPr>
        <w:ind w:left="7126" w:hanging="703"/>
      </w:pPr>
      <w:rPr>
        <w:rFonts w:hint="default"/>
        <w:lang w:val="uk-UA" w:eastAsia="en-US" w:bidi="ar-SA"/>
      </w:rPr>
    </w:lvl>
    <w:lvl w:ilvl="8" w:tplc="672ED43A">
      <w:numFmt w:val="bullet"/>
      <w:lvlText w:val="•"/>
      <w:lvlJc w:val="left"/>
      <w:pPr>
        <w:ind w:left="8124" w:hanging="703"/>
      </w:pPr>
      <w:rPr>
        <w:rFonts w:hint="default"/>
        <w:lang w:val="uk-UA" w:eastAsia="en-US" w:bidi="ar-SA"/>
      </w:rPr>
    </w:lvl>
  </w:abstractNum>
  <w:abstractNum w:abstractNumId="5">
    <w:nsid w:val="49C13F21"/>
    <w:multiLevelType w:val="hybridMultilevel"/>
    <w:tmpl w:val="1190CDE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52A9566E"/>
    <w:multiLevelType w:val="multilevel"/>
    <w:tmpl w:val="141252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5D6625"/>
    <w:multiLevelType w:val="hybridMultilevel"/>
    <w:tmpl w:val="FC26C1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5256D9"/>
    <w:multiLevelType w:val="hybridMultilevel"/>
    <w:tmpl w:val="9D9E34C0"/>
    <w:lvl w:ilvl="0" w:tplc="0422000F">
      <w:start w:val="5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3287B"/>
    <w:multiLevelType w:val="hybridMultilevel"/>
    <w:tmpl w:val="62606B1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A4C4F"/>
    <w:multiLevelType w:val="hybridMultilevel"/>
    <w:tmpl w:val="270C51D8"/>
    <w:lvl w:ilvl="0" w:tplc="3D02EA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6133C4"/>
    <w:multiLevelType w:val="hybridMultilevel"/>
    <w:tmpl w:val="7BD05AD2"/>
    <w:lvl w:ilvl="0" w:tplc="9E302004">
      <w:start w:val="1"/>
      <w:numFmt w:val="decimal"/>
      <w:lvlText w:val="%1."/>
      <w:lvlJc w:val="left"/>
      <w:pPr>
        <w:ind w:left="3905" w:hanging="360"/>
      </w:pPr>
      <w:rPr>
        <w:rFonts w:hint="default"/>
        <w:b/>
        <w:i w:val="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  <w:num w:numId="11">
    <w:abstractNumId w:val="9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AA"/>
    <w:rsid w:val="0000491F"/>
    <w:rsid w:val="00015FAD"/>
    <w:rsid w:val="000215D3"/>
    <w:rsid w:val="000360C4"/>
    <w:rsid w:val="00040984"/>
    <w:rsid w:val="00044E29"/>
    <w:rsid w:val="00051FA0"/>
    <w:rsid w:val="00055EDD"/>
    <w:rsid w:val="000630E7"/>
    <w:rsid w:val="00072547"/>
    <w:rsid w:val="000904CC"/>
    <w:rsid w:val="00090BA5"/>
    <w:rsid w:val="000951BE"/>
    <w:rsid w:val="000977AF"/>
    <w:rsid w:val="000A1783"/>
    <w:rsid w:val="000A3303"/>
    <w:rsid w:val="000B17A0"/>
    <w:rsid w:val="000B2BCF"/>
    <w:rsid w:val="000B7B79"/>
    <w:rsid w:val="000C1694"/>
    <w:rsid w:val="000E133D"/>
    <w:rsid w:val="000E67C1"/>
    <w:rsid w:val="000E7F81"/>
    <w:rsid w:val="000F4723"/>
    <w:rsid w:val="00100D03"/>
    <w:rsid w:val="001037CD"/>
    <w:rsid w:val="00115DC2"/>
    <w:rsid w:val="00116C9C"/>
    <w:rsid w:val="001248B9"/>
    <w:rsid w:val="00130BAB"/>
    <w:rsid w:val="00134B61"/>
    <w:rsid w:val="00142E4E"/>
    <w:rsid w:val="001430BE"/>
    <w:rsid w:val="00143D9E"/>
    <w:rsid w:val="00166471"/>
    <w:rsid w:val="00170DE0"/>
    <w:rsid w:val="001747CE"/>
    <w:rsid w:val="001826DD"/>
    <w:rsid w:val="00182972"/>
    <w:rsid w:val="00186D65"/>
    <w:rsid w:val="001967FA"/>
    <w:rsid w:val="001C6F3D"/>
    <w:rsid w:val="001D2590"/>
    <w:rsid w:val="001D4864"/>
    <w:rsid w:val="001E1623"/>
    <w:rsid w:val="001E6531"/>
    <w:rsid w:val="002014F0"/>
    <w:rsid w:val="00201542"/>
    <w:rsid w:val="00203FF0"/>
    <w:rsid w:val="00227F91"/>
    <w:rsid w:val="00233A8F"/>
    <w:rsid w:val="00234779"/>
    <w:rsid w:val="0023496A"/>
    <w:rsid w:val="002437F9"/>
    <w:rsid w:val="00250FB4"/>
    <w:rsid w:val="002563FD"/>
    <w:rsid w:val="00256624"/>
    <w:rsid w:val="002702E2"/>
    <w:rsid w:val="002770CC"/>
    <w:rsid w:val="00287231"/>
    <w:rsid w:val="0029021A"/>
    <w:rsid w:val="00291716"/>
    <w:rsid w:val="002B5870"/>
    <w:rsid w:val="002C7136"/>
    <w:rsid w:val="002D0D52"/>
    <w:rsid w:val="002D2770"/>
    <w:rsid w:val="002E1483"/>
    <w:rsid w:val="002F05B3"/>
    <w:rsid w:val="002F4EEA"/>
    <w:rsid w:val="002F74A8"/>
    <w:rsid w:val="003239DC"/>
    <w:rsid w:val="00323AE1"/>
    <w:rsid w:val="00325C6C"/>
    <w:rsid w:val="00337E03"/>
    <w:rsid w:val="00352084"/>
    <w:rsid w:val="003549E9"/>
    <w:rsid w:val="00354F48"/>
    <w:rsid w:val="003615A8"/>
    <w:rsid w:val="00362972"/>
    <w:rsid w:val="00362975"/>
    <w:rsid w:val="003827CE"/>
    <w:rsid w:val="0038476C"/>
    <w:rsid w:val="00385AE3"/>
    <w:rsid w:val="003870E4"/>
    <w:rsid w:val="00390009"/>
    <w:rsid w:val="003B478A"/>
    <w:rsid w:val="003B50B5"/>
    <w:rsid w:val="003C0059"/>
    <w:rsid w:val="003C62A1"/>
    <w:rsid w:val="003D1B98"/>
    <w:rsid w:val="003D2DC8"/>
    <w:rsid w:val="003D37AA"/>
    <w:rsid w:val="003E5982"/>
    <w:rsid w:val="003F042C"/>
    <w:rsid w:val="003F488E"/>
    <w:rsid w:val="003F5328"/>
    <w:rsid w:val="003F7603"/>
    <w:rsid w:val="003F7A4C"/>
    <w:rsid w:val="00426E75"/>
    <w:rsid w:val="0042754A"/>
    <w:rsid w:val="004337FA"/>
    <w:rsid w:val="00441FDC"/>
    <w:rsid w:val="00442CE6"/>
    <w:rsid w:val="00442EE6"/>
    <w:rsid w:val="0044572E"/>
    <w:rsid w:val="00456CBB"/>
    <w:rsid w:val="00462F7A"/>
    <w:rsid w:val="0047167D"/>
    <w:rsid w:val="004A7F41"/>
    <w:rsid w:val="004B1532"/>
    <w:rsid w:val="004B213F"/>
    <w:rsid w:val="004B594F"/>
    <w:rsid w:val="004C1E24"/>
    <w:rsid w:val="004C5A62"/>
    <w:rsid w:val="004F03A7"/>
    <w:rsid w:val="004F07C1"/>
    <w:rsid w:val="004F44FA"/>
    <w:rsid w:val="005006CB"/>
    <w:rsid w:val="005076A4"/>
    <w:rsid w:val="0051115C"/>
    <w:rsid w:val="005125A2"/>
    <w:rsid w:val="00513BFB"/>
    <w:rsid w:val="00525250"/>
    <w:rsid w:val="00530A22"/>
    <w:rsid w:val="005323B4"/>
    <w:rsid w:val="005453B9"/>
    <w:rsid w:val="00565EEA"/>
    <w:rsid w:val="005953C0"/>
    <w:rsid w:val="005B72B8"/>
    <w:rsid w:val="005D0E44"/>
    <w:rsid w:val="005D3ECA"/>
    <w:rsid w:val="005D4228"/>
    <w:rsid w:val="005D6305"/>
    <w:rsid w:val="005E0029"/>
    <w:rsid w:val="00601D47"/>
    <w:rsid w:val="00606C37"/>
    <w:rsid w:val="006244FE"/>
    <w:rsid w:val="0063784E"/>
    <w:rsid w:val="0064119B"/>
    <w:rsid w:val="00644648"/>
    <w:rsid w:val="006661AA"/>
    <w:rsid w:val="00667F81"/>
    <w:rsid w:val="00671A7F"/>
    <w:rsid w:val="006A006F"/>
    <w:rsid w:val="006B0AC1"/>
    <w:rsid w:val="006C6D7E"/>
    <w:rsid w:val="006D05FE"/>
    <w:rsid w:val="006D6278"/>
    <w:rsid w:val="006F47BE"/>
    <w:rsid w:val="006F70CD"/>
    <w:rsid w:val="0071056C"/>
    <w:rsid w:val="00711284"/>
    <w:rsid w:val="00732E96"/>
    <w:rsid w:val="00735D69"/>
    <w:rsid w:val="00740656"/>
    <w:rsid w:val="00753F99"/>
    <w:rsid w:val="00760AA5"/>
    <w:rsid w:val="00790643"/>
    <w:rsid w:val="007921E7"/>
    <w:rsid w:val="0079291C"/>
    <w:rsid w:val="00792E1D"/>
    <w:rsid w:val="0079405D"/>
    <w:rsid w:val="00794D72"/>
    <w:rsid w:val="0079798D"/>
    <w:rsid w:val="007A0495"/>
    <w:rsid w:val="007A7629"/>
    <w:rsid w:val="007B5250"/>
    <w:rsid w:val="007C2133"/>
    <w:rsid w:val="007E505F"/>
    <w:rsid w:val="007E6EBC"/>
    <w:rsid w:val="00800B3D"/>
    <w:rsid w:val="00805066"/>
    <w:rsid w:val="00813D18"/>
    <w:rsid w:val="0083234D"/>
    <w:rsid w:val="0084179C"/>
    <w:rsid w:val="00846D1D"/>
    <w:rsid w:val="0085134F"/>
    <w:rsid w:val="00885D52"/>
    <w:rsid w:val="00886695"/>
    <w:rsid w:val="00890880"/>
    <w:rsid w:val="00892BEF"/>
    <w:rsid w:val="00895878"/>
    <w:rsid w:val="00896A29"/>
    <w:rsid w:val="008A7273"/>
    <w:rsid w:val="008D1747"/>
    <w:rsid w:val="008E4508"/>
    <w:rsid w:val="008E607C"/>
    <w:rsid w:val="008F2C06"/>
    <w:rsid w:val="00913581"/>
    <w:rsid w:val="0092712A"/>
    <w:rsid w:val="00933404"/>
    <w:rsid w:val="009355DB"/>
    <w:rsid w:val="0093632C"/>
    <w:rsid w:val="00950916"/>
    <w:rsid w:val="00953593"/>
    <w:rsid w:val="009626ED"/>
    <w:rsid w:val="0096711F"/>
    <w:rsid w:val="00971DB2"/>
    <w:rsid w:val="00976022"/>
    <w:rsid w:val="00984F08"/>
    <w:rsid w:val="00993144"/>
    <w:rsid w:val="00995818"/>
    <w:rsid w:val="00997975"/>
    <w:rsid w:val="009A424D"/>
    <w:rsid w:val="009B4EF9"/>
    <w:rsid w:val="009B7DD0"/>
    <w:rsid w:val="009C497F"/>
    <w:rsid w:val="009D583A"/>
    <w:rsid w:val="009E0D69"/>
    <w:rsid w:val="00A12BA3"/>
    <w:rsid w:val="00A13153"/>
    <w:rsid w:val="00A13F43"/>
    <w:rsid w:val="00A15B07"/>
    <w:rsid w:val="00A15E5C"/>
    <w:rsid w:val="00A2739A"/>
    <w:rsid w:val="00A3090F"/>
    <w:rsid w:val="00A40069"/>
    <w:rsid w:val="00A41127"/>
    <w:rsid w:val="00A42301"/>
    <w:rsid w:val="00A44B09"/>
    <w:rsid w:val="00A52D31"/>
    <w:rsid w:val="00A64C96"/>
    <w:rsid w:val="00A66888"/>
    <w:rsid w:val="00A7619D"/>
    <w:rsid w:val="00A84A8C"/>
    <w:rsid w:val="00AC5500"/>
    <w:rsid w:val="00AE03C9"/>
    <w:rsid w:val="00AF5281"/>
    <w:rsid w:val="00B06EFD"/>
    <w:rsid w:val="00B22CFA"/>
    <w:rsid w:val="00B231CD"/>
    <w:rsid w:val="00B2763E"/>
    <w:rsid w:val="00B34B5D"/>
    <w:rsid w:val="00B46A83"/>
    <w:rsid w:val="00B50829"/>
    <w:rsid w:val="00B524F8"/>
    <w:rsid w:val="00B56288"/>
    <w:rsid w:val="00B77DAB"/>
    <w:rsid w:val="00B84983"/>
    <w:rsid w:val="00B925F1"/>
    <w:rsid w:val="00B94018"/>
    <w:rsid w:val="00BC5B99"/>
    <w:rsid w:val="00BC66E4"/>
    <w:rsid w:val="00BD0702"/>
    <w:rsid w:val="00BD79CD"/>
    <w:rsid w:val="00BE1D3C"/>
    <w:rsid w:val="00BF4EB8"/>
    <w:rsid w:val="00C00DAF"/>
    <w:rsid w:val="00C03C4A"/>
    <w:rsid w:val="00C24161"/>
    <w:rsid w:val="00C97B1A"/>
    <w:rsid w:val="00CA2351"/>
    <w:rsid w:val="00CC410A"/>
    <w:rsid w:val="00CC4637"/>
    <w:rsid w:val="00CD0401"/>
    <w:rsid w:val="00CD5A15"/>
    <w:rsid w:val="00CE3BD7"/>
    <w:rsid w:val="00CE7CC5"/>
    <w:rsid w:val="00CF1C7C"/>
    <w:rsid w:val="00CF1CE4"/>
    <w:rsid w:val="00CF47F1"/>
    <w:rsid w:val="00D167C7"/>
    <w:rsid w:val="00D432A4"/>
    <w:rsid w:val="00D57CBC"/>
    <w:rsid w:val="00D668A1"/>
    <w:rsid w:val="00D80E0B"/>
    <w:rsid w:val="00D8217E"/>
    <w:rsid w:val="00D93899"/>
    <w:rsid w:val="00DA1012"/>
    <w:rsid w:val="00DA274C"/>
    <w:rsid w:val="00DA6862"/>
    <w:rsid w:val="00DC45D9"/>
    <w:rsid w:val="00DE438D"/>
    <w:rsid w:val="00DE5EB6"/>
    <w:rsid w:val="00DF0CD6"/>
    <w:rsid w:val="00E0375B"/>
    <w:rsid w:val="00E043F3"/>
    <w:rsid w:val="00E17CA0"/>
    <w:rsid w:val="00E22602"/>
    <w:rsid w:val="00E50739"/>
    <w:rsid w:val="00E55185"/>
    <w:rsid w:val="00E61A04"/>
    <w:rsid w:val="00E63739"/>
    <w:rsid w:val="00E65F9A"/>
    <w:rsid w:val="00E7603B"/>
    <w:rsid w:val="00E764E2"/>
    <w:rsid w:val="00E80CFD"/>
    <w:rsid w:val="00EA1632"/>
    <w:rsid w:val="00EA3516"/>
    <w:rsid w:val="00EE27B0"/>
    <w:rsid w:val="00EE47A3"/>
    <w:rsid w:val="00EF0639"/>
    <w:rsid w:val="00F000B6"/>
    <w:rsid w:val="00F0608C"/>
    <w:rsid w:val="00F12502"/>
    <w:rsid w:val="00F21AFD"/>
    <w:rsid w:val="00F40E95"/>
    <w:rsid w:val="00F43CEB"/>
    <w:rsid w:val="00F513C0"/>
    <w:rsid w:val="00F515CF"/>
    <w:rsid w:val="00F55DAA"/>
    <w:rsid w:val="00F5744C"/>
    <w:rsid w:val="00F57C14"/>
    <w:rsid w:val="00F677A9"/>
    <w:rsid w:val="00F806A5"/>
    <w:rsid w:val="00F852B7"/>
    <w:rsid w:val="00FA52E1"/>
    <w:rsid w:val="00FB73CB"/>
    <w:rsid w:val="00FC3FFA"/>
    <w:rsid w:val="00FD0334"/>
    <w:rsid w:val="00FD4DDD"/>
    <w:rsid w:val="00FE71AA"/>
    <w:rsid w:val="00FF5D83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95016-8328-4314-B17C-C8CEC041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6661AA"/>
    <w:rPr>
      <w:rFonts w:ascii="Times New Roman" w:eastAsia="Times New Roman" w:hAnsi="Times New Roman" w:cs="Times New Roman"/>
      <w:color w:val="171317"/>
      <w:sz w:val="26"/>
      <w:szCs w:val="26"/>
      <w:shd w:val="clear" w:color="auto" w:fill="FFFFFF"/>
    </w:rPr>
  </w:style>
  <w:style w:type="character" w:customStyle="1" w:styleId="2">
    <w:name w:val="Основний текст (2)_"/>
    <w:basedOn w:val="a0"/>
    <w:link w:val="20"/>
    <w:rsid w:val="006661AA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1">
    <w:name w:val="Основний текст1"/>
    <w:basedOn w:val="a"/>
    <w:link w:val="a3"/>
    <w:rsid w:val="006661AA"/>
    <w:pPr>
      <w:widowControl w:val="0"/>
      <w:shd w:val="clear" w:color="auto" w:fill="FFFFFF"/>
      <w:spacing w:after="0" w:line="293" w:lineRule="auto"/>
      <w:ind w:firstLine="400"/>
    </w:pPr>
    <w:rPr>
      <w:rFonts w:ascii="Times New Roman" w:eastAsia="Times New Roman" w:hAnsi="Times New Roman" w:cs="Times New Roman"/>
      <w:color w:val="171317"/>
      <w:sz w:val="26"/>
      <w:szCs w:val="26"/>
    </w:rPr>
  </w:style>
  <w:style w:type="paragraph" w:customStyle="1" w:styleId="20">
    <w:name w:val="Основний текст (2)"/>
    <w:basedOn w:val="a"/>
    <w:link w:val="2"/>
    <w:rsid w:val="006661AA"/>
    <w:pPr>
      <w:widowControl w:val="0"/>
      <w:shd w:val="clear" w:color="auto" w:fill="FFFFFF"/>
      <w:spacing w:after="0" w:line="300" w:lineRule="auto"/>
      <w:ind w:firstLine="740"/>
    </w:pPr>
    <w:rPr>
      <w:rFonts w:ascii="Times New Roman" w:eastAsia="Times New Roman" w:hAnsi="Times New Roman" w:cs="Times New Roman"/>
      <w:sz w:val="32"/>
      <w:szCs w:val="32"/>
    </w:rPr>
  </w:style>
  <w:style w:type="paragraph" w:styleId="a4">
    <w:name w:val="Normal (Web)"/>
    <w:basedOn w:val="a"/>
    <w:uiPriority w:val="99"/>
    <w:unhideWhenUsed/>
    <w:rsid w:val="00441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5">
    <w:name w:val="Table Grid"/>
    <w:basedOn w:val="a1"/>
    <w:uiPriority w:val="59"/>
    <w:rsid w:val="00441FD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A64C96"/>
    <w:pPr>
      <w:spacing w:line="256" w:lineRule="auto"/>
      <w:ind w:left="720"/>
      <w:contextualSpacing/>
    </w:pPr>
  </w:style>
  <w:style w:type="character" w:customStyle="1" w:styleId="Bodytext">
    <w:name w:val="Body text_"/>
    <w:link w:val="Bodytext1"/>
    <w:locked/>
    <w:rsid w:val="00F0608C"/>
    <w:rPr>
      <w:rFonts w:ascii="Verdana" w:hAnsi="Verdana"/>
      <w:sz w:val="19"/>
      <w:szCs w:val="19"/>
      <w:shd w:val="clear" w:color="auto" w:fill="FFFFFF"/>
    </w:rPr>
  </w:style>
  <w:style w:type="paragraph" w:customStyle="1" w:styleId="Bodytext1">
    <w:name w:val="Body text1"/>
    <w:basedOn w:val="a"/>
    <w:link w:val="Bodytext"/>
    <w:rsid w:val="00F0608C"/>
    <w:pPr>
      <w:shd w:val="clear" w:color="auto" w:fill="FFFFFF"/>
      <w:spacing w:after="300" w:line="240" w:lineRule="atLeast"/>
      <w:ind w:hanging="480"/>
    </w:pPr>
    <w:rPr>
      <w:rFonts w:ascii="Verdana" w:hAnsi="Verdana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CF1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F1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8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EC3C7-2D9F-44CB-A5E7-1A5096B49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6</Pages>
  <Words>7267</Words>
  <Characters>4143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RePack by Diakov</cp:lastModifiedBy>
  <cp:revision>130</cp:revision>
  <cp:lastPrinted>2023-02-13T13:42:00Z</cp:lastPrinted>
  <dcterms:created xsi:type="dcterms:W3CDTF">2022-08-10T15:09:00Z</dcterms:created>
  <dcterms:modified xsi:type="dcterms:W3CDTF">2023-04-06T11:18:00Z</dcterms:modified>
</cp:coreProperties>
</file>