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DC" w:rsidRPr="001A61AC" w:rsidRDefault="00441FDC" w:rsidP="00441FDC">
      <w:pPr>
        <w:rPr>
          <w:rFonts w:ascii="Times New Roman" w:hAnsi="Times New Roman" w:cs="Times New Roman"/>
          <w:b/>
          <w:color w:val="000000" w:themeColor="text1"/>
          <w:sz w:val="24"/>
        </w:rPr>
      </w:pPr>
      <w:r w:rsidRPr="006C5D70">
        <w:rPr>
          <w:rFonts w:ascii="Times New Roman" w:hAnsi="Times New Roman" w:cs="Times New Roman"/>
          <w:b/>
          <w:color w:val="000000" w:themeColor="text1"/>
          <w:sz w:val="24"/>
        </w:rPr>
        <w:t>Додаток до Довідки №_</w:t>
      </w:r>
      <w:r w:rsidR="008249DE">
        <w:rPr>
          <w:rFonts w:ascii="Times New Roman" w:hAnsi="Times New Roman" w:cs="Times New Roman"/>
          <w:b/>
          <w:color w:val="000000" w:themeColor="text1"/>
          <w:sz w:val="24"/>
        </w:rPr>
        <w:t>2</w:t>
      </w:r>
      <w:r w:rsidR="001A61AC">
        <w:rPr>
          <w:rFonts w:ascii="Times New Roman" w:hAnsi="Times New Roman" w:cs="Times New Roman"/>
          <w:b/>
          <w:color w:val="000000" w:themeColor="text1"/>
          <w:sz w:val="24"/>
        </w:rPr>
        <w:t>про консультації проекту ДПТ з метою розташування індустріального парку в прис Дженджерівка в с. Сілець (за межами н.п.)</w:t>
      </w:r>
    </w:p>
    <w:tbl>
      <w:tblPr>
        <w:tblStyle w:val="a5"/>
        <w:tblW w:w="15409" w:type="dxa"/>
        <w:tblInd w:w="-5" w:type="dxa"/>
        <w:tblLook w:val="04A0" w:firstRow="1" w:lastRow="0" w:firstColumn="1" w:lastColumn="0" w:noHBand="0" w:noVBand="1"/>
      </w:tblPr>
      <w:tblGrid>
        <w:gridCol w:w="616"/>
        <w:gridCol w:w="2662"/>
        <w:gridCol w:w="1389"/>
        <w:gridCol w:w="3916"/>
        <w:gridCol w:w="2757"/>
        <w:gridCol w:w="4063"/>
        <w:gridCol w:w="6"/>
      </w:tblGrid>
      <w:tr w:rsidR="00C97B1A" w:rsidRPr="003827CE" w:rsidTr="00A40069">
        <w:trPr>
          <w:gridAfter w:val="1"/>
          <w:wAfter w:w="6" w:type="dxa"/>
          <w:trHeight w:val="1552"/>
        </w:trPr>
        <w:tc>
          <w:tcPr>
            <w:tcW w:w="616" w:type="dxa"/>
            <w:tcBorders>
              <w:top w:val="single" w:sz="4" w:space="0" w:color="auto"/>
              <w:left w:val="single" w:sz="4" w:space="0" w:color="auto"/>
              <w:bottom w:val="single" w:sz="4" w:space="0" w:color="auto"/>
              <w:right w:val="single" w:sz="4" w:space="0" w:color="auto"/>
            </w:tcBorders>
            <w:hideMark/>
          </w:tcPr>
          <w:p w:rsidR="00441FDC" w:rsidRPr="003827CE" w:rsidRDefault="00441FDC">
            <w:pPr>
              <w:pStyle w:val="a4"/>
              <w:spacing w:before="0" w:beforeAutospacing="0" w:after="0" w:afterAutospacing="0"/>
              <w:jc w:val="center"/>
              <w:rPr>
                <w:color w:val="000000" w:themeColor="text1"/>
                <w:sz w:val="20"/>
                <w:szCs w:val="20"/>
                <w:lang w:eastAsia="en-US"/>
              </w:rPr>
            </w:pPr>
            <w:r w:rsidRPr="003827CE">
              <w:rPr>
                <w:color w:val="000000" w:themeColor="text1"/>
                <w:sz w:val="20"/>
                <w:szCs w:val="20"/>
                <w:lang w:eastAsia="en-US"/>
              </w:rPr>
              <w:t>№ з/п</w:t>
            </w:r>
          </w:p>
        </w:tc>
        <w:tc>
          <w:tcPr>
            <w:tcW w:w="2662" w:type="dxa"/>
            <w:tcBorders>
              <w:top w:val="single" w:sz="4" w:space="0" w:color="auto"/>
              <w:left w:val="single" w:sz="4" w:space="0" w:color="auto"/>
              <w:bottom w:val="single" w:sz="4" w:space="0" w:color="auto"/>
              <w:right w:val="single" w:sz="4" w:space="0" w:color="auto"/>
            </w:tcBorders>
            <w:hideMark/>
          </w:tcPr>
          <w:p w:rsidR="00441FDC" w:rsidRPr="003827CE" w:rsidRDefault="00441FDC">
            <w:pPr>
              <w:pStyle w:val="a4"/>
              <w:spacing w:before="0" w:beforeAutospacing="0" w:after="0" w:afterAutospacing="0"/>
              <w:jc w:val="center"/>
              <w:rPr>
                <w:color w:val="000000" w:themeColor="text1"/>
                <w:sz w:val="20"/>
                <w:szCs w:val="20"/>
                <w:lang w:eastAsia="en-US"/>
              </w:rPr>
            </w:pPr>
            <w:r w:rsidRPr="003827CE">
              <w:rPr>
                <w:color w:val="000000" w:themeColor="text1"/>
                <w:sz w:val="20"/>
                <w:szCs w:val="20"/>
                <w:lang w:eastAsia="en-US"/>
              </w:rPr>
              <w:t>Уповноважений орган</w:t>
            </w:r>
          </w:p>
        </w:tc>
        <w:tc>
          <w:tcPr>
            <w:tcW w:w="1389" w:type="dxa"/>
            <w:tcBorders>
              <w:top w:val="single" w:sz="4" w:space="0" w:color="auto"/>
              <w:left w:val="single" w:sz="4" w:space="0" w:color="auto"/>
              <w:bottom w:val="single" w:sz="4" w:space="0" w:color="auto"/>
              <w:right w:val="single" w:sz="4" w:space="0" w:color="auto"/>
            </w:tcBorders>
            <w:hideMark/>
          </w:tcPr>
          <w:p w:rsidR="00441FDC" w:rsidRPr="003827CE" w:rsidRDefault="00441FDC">
            <w:pPr>
              <w:pStyle w:val="a4"/>
              <w:spacing w:before="0" w:beforeAutospacing="0" w:after="0" w:afterAutospacing="0"/>
              <w:jc w:val="center"/>
              <w:rPr>
                <w:color w:val="000000" w:themeColor="text1"/>
                <w:sz w:val="20"/>
                <w:szCs w:val="20"/>
                <w:lang w:eastAsia="en-US"/>
              </w:rPr>
            </w:pPr>
            <w:r w:rsidRPr="003827CE">
              <w:rPr>
                <w:color w:val="000000" w:themeColor="text1"/>
                <w:sz w:val="20"/>
                <w:szCs w:val="20"/>
                <w:lang w:eastAsia="en-US"/>
              </w:rPr>
              <w:t>Редакція частини проекту ДПТ/звіту про СЕО, до якого висловлено зауваження (пропозиції)</w:t>
            </w:r>
          </w:p>
        </w:tc>
        <w:tc>
          <w:tcPr>
            <w:tcW w:w="3916" w:type="dxa"/>
            <w:tcBorders>
              <w:top w:val="single" w:sz="4" w:space="0" w:color="auto"/>
              <w:left w:val="single" w:sz="4" w:space="0" w:color="auto"/>
              <w:bottom w:val="single" w:sz="4" w:space="0" w:color="auto"/>
              <w:right w:val="single" w:sz="4" w:space="0" w:color="auto"/>
            </w:tcBorders>
            <w:hideMark/>
          </w:tcPr>
          <w:p w:rsidR="00441FDC" w:rsidRPr="003827CE" w:rsidRDefault="00441FDC">
            <w:pPr>
              <w:pStyle w:val="a4"/>
              <w:spacing w:before="0" w:beforeAutospacing="0" w:after="0" w:afterAutospacing="0"/>
              <w:ind w:firstLine="169"/>
              <w:jc w:val="center"/>
              <w:rPr>
                <w:color w:val="000000" w:themeColor="text1"/>
                <w:sz w:val="20"/>
                <w:szCs w:val="20"/>
                <w:lang w:eastAsia="en-US"/>
              </w:rPr>
            </w:pPr>
            <w:r w:rsidRPr="003827CE">
              <w:rPr>
                <w:color w:val="000000" w:themeColor="text1"/>
                <w:sz w:val="20"/>
                <w:szCs w:val="20"/>
                <w:lang w:eastAsia="en-US"/>
              </w:rPr>
              <w:t>Зауваження/пропозиція</w:t>
            </w:r>
          </w:p>
        </w:tc>
        <w:tc>
          <w:tcPr>
            <w:tcW w:w="2757" w:type="dxa"/>
            <w:tcBorders>
              <w:top w:val="single" w:sz="4" w:space="0" w:color="auto"/>
              <w:left w:val="single" w:sz="4" w:space="0" w:color="auto"/>
              <w:bottom w:val="single" w:sz="4" w:space="0" w:color="auto"/>
              <w:right w:val="single" w:sz="4" w:space="0" w:color="auto"/>
            </w:tcBorders>
            <w:hideMark/>
          </w:tcPr>
          <w:p w:rsidR="00441FDC" w:rsidRPr="003827CE" w:rsidRDefault="00441FDC">
            <w:pPr>
              <w:pStyle w:val="a4"/>
              <w:spacing w:before="0" w:beforeAutospacing="0" w:after="0" w:afterAutospacing="0"/>
              <w:jc w:val="center"/>
              <w:rPr>
                <w:color w:val="000000" w:themeColor="text1"/>
                <w:sz w:val="20"/>
                <w:szCs w:val="20"/>
                <w:lang w:eastAsia="en-US"/>
              </w:rPr>
            </w:pPr>
            <w:r w:rsidRPr="003827CE">
              <w:rPr>
                <w:color w:val="000000" w:themeColor="text1"/>
                <w:sz w:val="20"/>
                <w:szCs w:val="20"/>
                <w:lang w:eastAsia="en-US"/>
              </w:rPr>
              <w:t>Спосіб врахування(враховано/не враховано/враховано частково)</w:t>
            </w:r>
          </w:p>
        </w:tc>
        <w:tc>
          <w:tcPr>
            <w:tcW w:w="4063" w:type="dxa"/>
            <w:tcBorders>
              <w:top w:val="single" w:sz="4" w:space="0" w:color="auto"/>
              <w:left w:val="single" w:sz="4" w:space="0" w:color="auto"/>
              <w:bottom w:val="single" w:sz="4" w:space="0" w:color="auto"/>
              <w:right w:val="single" w:sz="4" w:space="0" w:color="auto"/>
            </w:tcBorders>
            <w:hideMark/>
          </w:tcPr>
          <w:p w:rsidR="00441FDC" w:rsidRPr="003827CE" w:rsidRDefault="00441FDC" w:rsidP="002E1483">
            <w:pPr>
              <w:pStyle w:val="a4"/>
              <w:spacing w:before="0" w:beforeAutospacing="0" w:after="0" w:afterAutospacing="0"/>
              <w:jc w:val="center"/>
              <w:rPr>
                <w:color w:val="000000" w:themeColor="text1"/>
                <w:sz w:val="20"/>
                <w:szCs w:val="20"/>
                <w:lang w:eastAsia="en-US"/>
              </w:rPr>
            </w:pPr>
            <w:r w:rsidRPr="003827CE">
              <w:rPr>
                <w:color w:val="000000" w:themeColor="text1"/>
                <w:sz w:val="20"/>
                <w:szCs w:val="20"/>
                <w:lang w:eastAsia="en-US"/>
              </w:rPr>
              <w:t>При</w:t>
            </w:r>
            <w:r w:rsidR="002E1483" w:rsidRPr="003827CE">
              <w:rPr>
                <w:color w:val="000000" w:themeColor="text1"/>
                <w:sz w:val="20"/>
                <w:szCs w:val="20"/>
                <w:lang w:eastAsia="en-US"/>
              </w:rPr>
              <w:t>мі</w:t>
            </w:r>
            <w:r w:rsidRPr="003827CE">
              <w:rPr>
                <w:color w:val="000000" w:themeColor="text1"/>
                <w:sz w:val="20"/>
                <w:szCs w:val="20"/>
                <w:lang w:eastAsia="en-US"/>
              </w:rPr>
              <w:t>тка</w:t>
            </w:r>
          </w:p>
        </w:tc>
      </w:tr>
      <w:tr w:rsidR="00C97B1A" w:rsidRPr="003827CE" w:rsidTr="00A40069">
        <w:trPr>
          <w:trHeight w:val="419"/>
        </w:trPr>
        <w:tc>
          <w:tcPr>
            <w:tcW w:w="15409" w:type="dxa"/>
            <w:gridSpan w:val="7"/>
            <w:tcBorders>
              <w:top w:val="single" w:sz="4" w:space="0" w:color="auto"/>
              <w:left w:val="single" w:sz="4" w:space="0" w:color="auto"/>
              <w:bottom w:val="single" w:sz="4" w:space="0" w:color="auto"/>
              <w:right w:val="single" w:sz="4" w:space="0" w:color="auto"/>
            </w:tcBorders>
            <w:hideMark/>
          </w:tcPr>
          <w:p w:rsidR="00441FDC" w:rsidRPr="003827CE" w:rsidRDefault="000A3303">
            <w:pPr>
              <w:pStyle w:val="a4"/>
              <w:spacing w:before="0" w:beforeAutospacing="0" w:after="0" w:afterAutospacing="0"/>
              <w:jc w:val="center"/>
              <w:rPr>
                <w:color w:val="FF0000"/>
                <w:sz w:val="20"/>
                <w:szCs w:val="20"/>
                <w:lang w:eastAsia="en-US"/>
              </w:rPr>
            </w:pPr>
            <w:r w:rsidRPr="003827CE">
              <w:rPr>
                <w:color w:val="000000" w:themeColor="text1"/>
                <w:sz w:val="20"/>
                <w:szCs w:val="20"/>
                <w:lang w:eastAsia="en-US"/>
              </w:rPr>
              <w:t xml:space="preserve">До </w:t>
            </w:r>
            <w:r w:rsidR="00441FDC" w:rsidRPr="003827CE">
              <w:rPr>
                <w:color w:val="000000" w:themeColor="text1"/>
                <w:sz w:val="20"/>
                <w:szCs w:val="20"/>
                <w:lang w:eastAsia="en-US"/>
              </w:rPr>
              <w:t>проекту ДДП</w:t>
            </w:r>
          </w:p>
        </w:tc>
      </w:tr>
      <w:tr w:rsidR="002563FD" w:rsidRPr="003827C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2563FD" w:rsidRDefault="002563FD" w:rsidP="002563FD">
            <w:pPr>
              <w:pStyle w:val="a4"/>
              <w:spacing w:before="0" w:after="0"/>
              <w:jc w:val="center"/>
              <w:rPr>
                <w:color w:val="000000" w:themeColor="text1"/>
                <w:sz w:val="20"/>
                <w:szCs w:val="20"/>
                <w:lang w:eastAsia="en-US"/>
              </w:rPr>
            </w:pPr>
            <w:r>
              <w:rPr>
                <w:color w:val="000000" w:themeColor="text1"/>
                <w:sz w:val="20"/>
                <w:szCs w:val="20"/>
                <w:lang w:eastAsia="en-US"/>
              </w:rPr>
              <w:t>1</w:t>
            </w:r>
          </w:p>
        </w:tc>
        <w:tc>
          <w:tcPr>
            <w:tcW w:w="2662" w:type="dxa"/>
            <w:tcBorders>
              <w:top w:val="single" w:sz="4" w:space="0" w:color="auto"/>
              <w:left w:val="single" w:sz="4" w:space="0" w:color="auto"/>
              <w:bottom w:val="single" w:sz="4" w:space="0" w:color="auto"/>
              <w:right w:val="single" w:sz="4" w:space="0" w:color="auto"/>
            </w:tcBorders>
          </w:tcPr>
          <w:p w:rsidR="002563FD" w:rsidRPr="00442EE6" w:rsidRDefault="002563FD" w:rsidP="002563F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sidR="005D4228">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2563FD" w:rsidRPr="001D4864" w:rsidRDefault="002563FD" w:rsidP="002563F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2563FD" w:rsidRPr="002C3D96" w:rsidRDefault="00E55185" w:rsidP="002563FD">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Вказати використання та призначення території, яка опрацьовується детальним планом, в ув'язці з основними рішеннями генерального плану населеного пункту. Зазначаємо, шо згідно частини 1 статті 19 Закону України детальний план території повинен деталізувати положення генерального плану населеного пункту та визначати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w:t>
            </w:r>
          </w:p>
        </w:tc>
        <w:tc>
          <w:tcPr>
            <w:tcW w:w="2757" w:type="dxa"/>
            <w:tcBorders>
              <w:top w:val="single" w:sz="4" w:space="0" w:color="auto"/>
              <w:left w:val="single" w:sz="4" w:space="0" w:color="auto"/>
              <w:bottom w:val="single" w:sz="4" w:space="0" w:color="auto"/>
              <w:right w:val="single" w:sz="4" w:space="0" w:color="auto"/>
            </w:tcBorders>
          </w:tcPr>
          <w:p w:rsidR="002563FD" w:rsidRPr="002C3D96" w:rsidRDefault="007A07ED" w:rsidP="002563FD">
            <w:pPr>
              <w:pStyle w:val="a4"/>
              <w:spacing w:before="0" w:beforeAutospacing="0" w:after="0" w:afterAutospacing="0"/>
              <w:contextualSpacing/>
              <w:jc w:val="center"/>
              <w:rPr>
                <w:color w:val="000000" w:themeColor="text1"/>
                <w:sz w:val="20"/>
                <w:szCs w:val="20"/>
                <w:highlight w:val="yellow"/>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2563FD" w:rsidRPr="002C3D96" w:rsidRDefault="002563FD" w:rsidP="002563FD">
            <w:pPr>
              <w:pStyle w:val="a4"/>
              <w:spacing w:before="0" w:beforeAutospacing="0" w:after="0" w:afterAutospacing="0"/>
              <w:contextualSpacing/>
              <w:rPr>
                <w:color w:val="000000" w:themeColor="text1"/>
                <w:sz w:val="20"/>
                <w:szCs w:val="20"/>
                <w:highlight w:val="yellow"/>
                <w:lang w:eastAsia="en-US"/>
              </w:rPr>
            </w:pPr>
          </w:p>
        </w:tc>
      </w:tr>
      <w:tr w:rsidR="001967FA" w:rsidRPr="003827C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1967FA" w:rsidRPr="007E1F46" w:rsidRDefault="001967FA" w:rsidP="001967FA">
            <w:pPr>
              <w:pStyle w:val="a4"/>
              <w:spacing w:before="0" w:after="0"/>
              <w:jc w:val="center"/>
              <w:rPr>
                <w:color w:val="000000" w:themeColor="text1"/>
                <w:sz w:val="20"/>
                <w:szCs w:val="20"/>
                <w:lang w:val="uk-UA" w:eastAsia="en-US"/>
              </w:rPr>
            </w:pPr>
            <w:r>
              <w:rPr>
                <w:color w:val="000000" w:themeColor="text1"/>
                <w:sz w:val="20"/>
                <w:szCs w:val="20"/>
                <w:lang w:val="uk-UA" w:eastAsia="en-US"/>
              </w:rPr>
              <w:t>2</w:t>
            </w:r>
          </w:p>
        </w:tc>
        <w:tc>
          <w:tcPr>
            <w:tcW w:w="2662" w:type="dxa"/>
            <w:tcBorders>
              <w:top w:val="single" w:sz="4" w:space="0" w:color="auto"/>
              <w:left w:val="single" w:sz="4" w:space="0" w:color="auto"/>
              <w:bottom w:val="single" w:sz="4" w:space="0" w:color="auto"/>
              <w:right w:val="single" w:sz="4" w:space="0" w:color="auto"/>
            </w:tcBorders>
          </w:tcPr>
          <w:p w:rsidR="001967FA" w:rsidRPr="00442EE6" w:rsidRDefault="001967FA" w:rsidP="001967F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1967FA" w:rsidRPr="001D4864" w:rsidRDefault="001967FA" w:rsidP="001967F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1967FA" w:rsidRPr="002C3D96" w:rsidRDefault="001967FA" w:rsidP="001967FA">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Провести детальні інженерно-геологічні, гірничо-геологічні та гідрогеологічні вишукування території опрацювання та врахувати отримані результати на наступних етапах проектування.</w:t>
            </w:r>
          </w:p>
        </w:tc>
        <w:tc>
          <w:tcPr>
            <w:tcW w:w="2757" w:type="dxa"/>
            <w:tcBorders>
              <w:top w:val="single" w:sz="4" w:space="0" w:color="auto"/>
              <w:left w:val="single" w:sz="4" w:space="0" w:color="auto"/>
              <w:bottom w:val="single" w:sz="4" w:space="0" w:color="auto"/>
              <w:right w:val="single" w:sz="4" w:space="0" w:color="auto"/>
            </w:tcBorders>
          </w:tcPr>
          <w:p w:rsidR="001967FA" w:rsidRPr="002C3D96" w:rsidRDefault="00462F7A" w:rsidP="001967F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1967FA" w:rsidRPr="002C3D96" w:rsidRDefault="001967FA" w:rsidP="001967FA">
            <w:pPr>
              <w:pStyle w:val="a4"/>
              <w:spacing w:before="0" w:beforeAutospacing="0" w:after="0" w:afterAutospacing="0"/>
              <w:contextualSpacing/>
              <w:rPr>
                <w:color w:val="000000" w:themeColor="text1"/>
                <w:sz w:val="20"/>
                <w:szCs w:val="20"/>
                <w:lang w:eastAsia="en-US"/>
              </w:rPr>
            </w:pPr>
          </w:p>
        </w:tc>
      </w:tr>
      <w:tr w:rsidR="001967FA" w:rsidRPr="003827C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1967FA" w:rsidRPr="007E1F46" w:rsidRDefault="001967FA" w:rsidP="001967FA">
            <w:pPr>
              <w:pStyle w:val="a4"/>
              <w:spacing w:before="0" w:after="0"/>
              <w:jc w:val="center"/>
              <w:rPr>
                <w:color w:val="000000" w:themeColor="text1"/>
                <w:sz w:val="20"/>
                <w:szCs w:val="20"/>
                <w:lang w:eastAsia="en-US"/>
              </w:rPr>
            </w:pPr>
            <w:r>
              <w:rPr>
                <w:color w:val="000000" w:themeColor="text1"/>
                <w:sz w:val="20"/>
                <w:szCs w:val="20"/>
                <w:lang w:eastAsia="en-US"/>
              </w:rPr>
              <w:t>3</w:t>
            </w:r>
          </w:p>
        </w:tc>
        <w:tc>
          <w:tcPr>
            <w:tcW w:w="2662" w:type="dxa"/>
            <w:tcBorders>
              <w:top w:val="single" w:sz="4" w:space="0" w:color="auto"/>
              <w:left w:val="single" w:sz="4" w:space="0" w:color="auto"/>
              <w:bottom w:val="single" w:sz="4" w:space="0" w:color="auto"/>
              <w:right w:val="single" w:sz="4" w:space="0" w:color="auto"/>
            </w:tcBorders>
          </w:tcPr>
          <w:p w:rsidR="001967FA" w:rsidRPr="00442EE6" w:rsidRDefault="001967FA" w:rsidP="001967F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1967FA" w:rsidRPr="001D4864" w:rsidRDefault="001967FA" w:rsidP="001967F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1967FA" w:rsidRPr="002C3D96" w:rsidRDefault="001967FA" w:rsidP="001967FA">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Передбачити заходи з інженерної підготовки та захисту території з попередження розвитку небезпечних геологічних процесів і явищ та надзвичайних ситуацій (підтоплення, просідання, тощо).</w:t>
            </w:r>
          </w:p>
        </w:tc>
        <w:tc>
          <w:tcPr>
            <w:tcW w:w="2757" w:type="dxa"/>
            <w:tcBorders>
              <w:top w:val="single" w:sz="4" w:space="0" w:color="auto"/>
              <w:left w:val="single" w:sz="4" w:space="0" w:color="auto"/>
              <w:bottom w:val="single" w:sz="4" w:space="0" w:color="auto"/>
              <w:right w:val="single" w:sz="4" w:space="0" w:color="auto"/>
            </w:tcBorders>
          </w:tcPr>
          <w:p w:rsidR="001967FA" w:rsidRPr="002C3D96" w:rsidRDefault="00462F7A" w:rsidP="001967F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1967FA" w:rsidRPr="002C3D96" w:rsidRDefault="001967FA" w:rsidP="001967FA">
            <w:pPr>
              <w:pStyle w:val="a4"/>
              <w:spacing w:before="0" w:beforeAutospacing="0" w:after="0" w:afterAutospacing="0"/>
              <w:contextualSpacing/>
              <w:rPr>
                <w:color w:val="000000" w:themeColor="text1"/>
                <w:sz w:val="20"/>
                <w:szCs w:val="20"/>
                <w:lang w:eastAsia="en-US"/>
              </w:rPr>
            </w:pPr>
          </w:p>
        </w:tc>
      </w:tr>
      <w:tr w:rsidR="00462F7A" w:rsidRPr="003827C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lastRenderedPageBreak/>
              <w:t>4</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Default="00462F7A" w:rsidP="00462F7A">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Попередньо розробити проект рекультивації терикону.</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rPr>
                <w:color w:val="000000" w:themeColor="text1"/>
                <w:sz w:val="20"/>
                <w:szCs w:val="20"/>
                <w:lang w:eastAsia="en-US"/>
              </w:rPr>
            </w:pPr>
          </w:p>
        </w:tc>
      </w:tr>
      <w:tr w:rsidR="00462F7A" w:rsidRPr="003827C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t>5</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Default="00462F7A" w:rsidP="00462F7A">
            <w:pPr>
              <w:pStyle w:val="a4"/>
              <w:spacing w:after="0"/>
              <w:contextualSpacing/>
              <w:jc w:val="both"/>
              <w:rPr>
                <w:color w:val="000000" w:themeColor="text1"/>
                <w:sz w:val="20"/>
                <w:szCs w:val="20"/>
                <w:lang w:eastAsia="en-US"/>
              </w:rPr>
            </w:pPr>
            <w:r w:rsidRPr="00E55185">
              <w:rPr>
                <w:color w:val="000000" w:themeColor="text1"/>
                <w:sz w:val="20"/>
                <w:szCs w:val="20"/>
                <w:lang w:eastAsia="en-US"/>
              </w:rPr>
              <w:t xml:space="preserve">У матеріалах проекту ДПТ та звіті про СЕО має місце невідповідність </w:t>
            </w:r>
            <w:proofErr w:type="gramStart"/>
            <w:r w:rsidRPr="00E55185">
              <w:rPr>
                <w:color w:val="000000" w:themeColor="text1"/>
                <w:sz w:val="20"/>
                <w:szCs w:val="20"/>
                <w:lang w:eastAsia="en-US"/>
              </w:rPr>
              <w:t>даних  щодо</w:t>
            </w:r>
            <w:proofErr w:type="gramEnd"/>
            <w:r w:rsidRPr="00E55185">
              <w:rPr>
                <w:color w:val="000000" w:themeColor="text1"/>
                <w:sz w:val="20"/>
                <w:szCs w:val="20"/>
                <w:lang w:eastAsia="en-US"/>
              </w:rPr>
              <w:t xml:space="preserve">  існуючих будівель на території опрацювання.</w:t>
            </w:r>
            <w:r>
              <w:rPr>
                <w:color w:val="000000" w:themeColor="text1"/>
                <w:sz w:val="20"/>
                <w:szCs w:val="20"/>
                <w:lang w:eastAsia="en-US"/>
              </w:rPr>
              <w:t xml:space="preserve"> </w:t>
            </w:r>
            <w:r w:rsidRPr="00E55185">
              <w:rPr>
                <w:color w:val="000000" w:themeColor="text1"/>
                <w:sz w:val="20"/>
                <w:szCs w:val="20"/>
                <w:lang w:eastAsia="en-US"/>
              </w:rPr>
              <w:t>Вказати інформацію про відображені на графічн</w:t>
            </w:r>
            <w:r>
              <w:rPr>
                <w:color w:val="000000" w:themeColor="text1"/>
                <w:sz w:val="20"/>
                <w:szCs w:val="20"/>
                <w:lang w:eastAsia="en-US"/>
              </w:rPr>
              <w:t>их матеріалах існуючі будівлі та</w:t>
            </w:r>
            <w:r w:rsidRPr="00E55185">
              <w:rPr>
                <w:color w:val="000000" w:themeColor="text1"/>
                <w:sz w:val="20"/>
                <w:szCs w:val="20"/>
                <w:lang w:eastAsia="en-US"/>
              </w:rPr>
              <w:t xml:space="preserve"> споруди.</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jc w:val="center"/>
              <w:rPr>
                <w:color w:val="000000" w:themeColor="text1"/>
                <w:sz w:val="20"/>
                <w:szCs w:val="20"/>
                <w:lang w:eastAsia="en-US"/>
              </w:rPr>
            </w:pP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rPr>
                <w:color w:val="000000" w:themeColor="text1"/>
                <w:sz w:val="20"/>
                <w:szCs w:val="20"/>
                <w:lang w:eastAsia="en-US"/>
              </w:rPr>
            </w:pPr>
          </w:p>
        </w:tc>
      </w:tr>
      <w:tr w:rsidR="00462F7A"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t>6</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Pr="003E3529" w:rsidRDefault="00462F7A" w:rsidP="00462F7A">
            <w:pPr>
              <w:pStyle w:val="a4"/>
              <w:spacing w:after="0"/>
              <w:contextualSpacing/>
              <w:jc w:val="both"/>
              <w:rPr>
                <w:color w:val="000000" w:themeColor="text1"/>
                <w:sz w:val="20"/>
                <w:szCs w:val="20"/>
                <w:lang w:eastAsia="en-US"/>
              </w:rPr>
            </w:pPr>
            <w:r w:rsidRPr="00E55185">
              <w:rPr>
                <w:color w:val="000000" w:themeColor="text1"/>
                <w:sz w:val="20"/>
                <w:szCs w:val="20"/>
                <w:lang w:eastAsia="en-US"/>
              </w:rPr>
              <w:t>М</w:t>
            </w:r>
            <w:r>
              <w:rPr>
                <w:color w:val="000000" w:themeColor="text1"/>
                <w:sz w:val="20"/>
                <w:szCs w:val="20"/>
                <w:lang w:eastAsia="en-US"/>
              </w:rPr>
              <w:t>аксимально деталізувати проектні</w:t>
            </w:r>
            <w:r w:rsidRPr="00E55185">
              <w:rPr>
                <w:color w:val="000000" w:themeColor="text1"/>
                <w:sz w:val="20"/>
                <w:szCs w:val="20"/>
                <w:lang w:eastAsia="en-US"/>
              </w:rPr>
              <w:t xml:space="preserve"> рішення детального плану гериторії, вказати характеристику планованої діяльності па проектованих об'єктах.</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7A07ED" w:rsidP="00462F7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7A07ED" w:rsidP="00462F7A">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На графічних матеріалах та в пояснювальній записці деталізовано проектні рішення, а також є вказано які саме підприємства будуть розміщуватись на проектованій території (див. експлікацію проектованих ділянок)</w:t>
            </w:r>
          </w:p>
        </w:tc>
      </w:tr>
      <w:tr w:rsidR="00462F7A"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t>7</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Pr="0058416E" w:rsidRDefault="00462F7A" w:rsidP="00462F7A">
            <w:pPr>
              <w:pStyle w:val="a4"/>
              <w:spacing w:after="0"/>
              <w:contextualSpacing/>
              <w:jc w:val="both"/>
              <w:rPr>
                <w:color w:val="000000" w:themeColor="text1"/>
                <w:sz w:val="20"/>
                <w:szCs w:val="20"/>
                <w:lang w:eastAsia="en-US"/>
              </w:rPr>
            </w:pPr>
            <w:r w:rsidRPr="009C497F">
              <w:rPr>
                <w:color w:val="000000" w:themeColor="text1"/>
                <w:sz w:val="20"/>
                <w:szCs w:val="20"/>
                <w:lang w:eastAsia="en-US"/>
              </w:rPr>
              <w:t>Основні рішення ДПТ узгодити з Державним агентством автомобільних доріг України та Державною службою гірничого нагляду та промислової безпеки України.</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7A07ED" w:rsidP="00462F7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rPr>
                <w:color w:val="000000" w:themeColor="text1"/>
                <w:sz w:val="20"/>
                <w:szCs w:val="20"/>
                <w:lang w:eastAsia="en-US"/>
              </w:rPr>
            </w:pPr>
          </w:p>
        </w:tc>
      </w:tr>
      <w:tr w:rsidR="00462F7A"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t>8</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Pr="0058416E" w:rsidRDefault="00462F7A" w:rsidP="00462F7A">
            <w:pPr>
              <w:pStyle w:val="a4"/>
              <w:spacing w:after="0"/>
              <w:contextualSpacing/>
              <w:jc w:val="both"/>
              <w:rPr>
                <w:color w:val="000000" w:themeColor="text1"/>
                <w:sz w:val="20"/>
                <w:szCs w:val="20"/>
                <w:lang w:eastAsia="en-US"/>
              </w:rPr>
            </w:pPr>
            <w:r>
              <w:rPr>
                <w:color w:val="000000" w:themeColor="text1"/>
                <w:sz w:val="20"/>
                <w:szCs w:val="20"/>
                <w:lang w:eastAsia="en-US"/>
              </w:rPr>
              <w:t>Подати розрахунки обсяг</w:t>
            </w:r>
            <w:r w:rsidRPr="009C497F">
              <w:rPr>
                <w:color w:val="000000" w:themeColor="text1"/>
                <w:sz w:val="20"/>
                <w:szCs w:val="20"/>
                <w:lang w:eastAsia="en-US"/>
              </w:rPr>
              <w:t>у води для забезпечення потреб водоспоживання та обсяг водовідведення проектованої діяльності.</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7A07ED" w:rsidP="00462F7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rPr>
                <w:color w:val="000000" w:themeColor="text1"/>
                <w:sz w:val="20"/>
                <w:szCs w:val="20"/>
                <w:lang w:eastAsia="en-US"/>
              </w:rPr>
            </w:pPr>
          </w:p>
        </w:tc>
      </w:tr>
      <w:tr w:rsidR="00462F7A"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462F7A" w:rsidRPr="007E1F46" w:rsidRDefault="00462F7A" w:rsidP="00462F7A">
            <w:pPr>
              <w:pStyle w:val="a4"/>
              <w:spacing w:before="0" w:after="0"/>
              <w:jc w:val="center"/>
              <w:rPr>
                <w:color w:val="000000" w:themeColor="text1"/>
                <w:sz w:val="20"/>
                <w:szCs w:val="20"/>
                <w:lang w:eastAsia="en-US"/>
              </w:rPr>
            </w:pPr>
            <w:r>
              <w:rPr>
                <w:color w:val="000000" w:themeColor="text1"/>
                <w:sz w:val="20"/>
                <w:szCs w:val="20"/>
                <w:lang w:eastAsia="en-US"/>
              </w:rPr>
              <w:t>9</w:t>
            </w:r>
          </w:p>
        </w:tc>
        <w:tc>
          <w:tcPr>
            <w:tcW w:w="2662" w:type="dxa"/>
            <w:tcBorders>
              <w:top w:val="single" w:sz="4" w:space="0" w:color="auto"/>
              <w:left w:val="single" w:sz="4" w:space="0" w:color="auto"/>
              <w:bottom w:val="single" w:sz="4" w:space="0" w:color="auto"/>
              <w:right w:val="single" w:sz="4" w:space="0" w:color="auto"/>
            </w:tcBorders>
          </w:tcPr>
          <w:p w:rsidR="00462F7A" w:rsidRPr="00442EE6" w:rsidRDefault="00462F7A" w:rsidP="00462F7A">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462F7A" w:rsidRPr="001D4864" w:rsidRDefault="00462F7A" w:rsidP="00462F7A">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462F7A" w:rsidRPr="0058416E" w:rsidRDefault="00462F7A" w:rsidP="00462F7A">
            <w:pPr>
              <w:pStyle w:val="a4"/>
              <w:spacing w:after="0"/>
              <w:contextualSpacing/>
              <w:jc w:val="both"/>
              <w:rPr>
                <w:color w:val="000000" w:themeColor="text1"/>
                <w:sz w:val="20"/>
                <w:szCs w:val="20"/>
                <w:lang w:eastAsia="en-US"/>
              </w:rPr>
            </w:pPr>
            <w:r w:rsidRPr="0079405D">
              <w:rPr>
                <w:color w:val="000000" w:themeColor="text1"/>
                <w:sz w:val="20"/>
                <w:szCs w:val="20"/>
                <w:lang w:eastAsia="en-US"/>
              </w:rPr>
              <w:t>Отримати принципову згоду власників інженерних мереж на підключення.</w:t>
            </w:r>
          </w:p>
        </w:tc>
        <w:tc>
          <w:tcPr>
            <w:tcW w:w="2757"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462F7A" w:rsidRPr="002C3D96" w:rsidRDefault="00462F7A" w:rsidP="00462F7A">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10</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58416E"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Надати інформацію про проектований комплекс очисних споруд на території опрацювання. Вказати місце скиду очищених стоків після очисних споруд та відобразити на графічній частині проекту.</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Інформацію про комплекс очисних споруд описано в розділі 6 пояснювальної записки, на графічних матеріалах показано місце врізки в існуючу каналізаційну мережу</w:t>
            </w: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lastRenderedPageBreak/>
              <w:t>11</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58416E"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При скиді зворотних вод у водний об'єкт, вказати приймача стічних вод. його характеристику та санітарний стан.</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12</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58416E" w:rsidRDefault="007A07ED" w:rsidP="007A07ED">
            <w:pPr>
              <w:pStyle w:val="a4"/>
              <w:spacing w:after="0"/>
              <w:contextualSpacing/>
              <w:jc w:val="both"/>
              <w:rPr>
                <w:color w:val="000000" w:themeColor="text1"/>
                <w:sz w:val="20"/>
                <w:szCs w:val="20"/>
                <w:lang w:eastAsia="en-US"/>
              </w:rPr>
            </w:pPr>
            <w:r>
              <w:rPr>
                <w:color w:val="000000" w:themeColor="text1"/>
                <w:sz w:val="20"/>
                <w:szCs w:val="20"/>
                <w:lang w:eastAsia="en-US"/>
              </w:rPr>
              <w:t>З</w:t>
            </w:r>
            <w:r w:rsidRPr="0079405D">
              <w:rPr>
                <w:color w:val="000000" w:themeColor="text1"/>
                <w:sz w:val="20"/>
                <w:szCs w:val="20"/>
                <w:lang w:eastAsia="en-US"/>
              </w:rPr>
              <w:t>образити на графічних матеріалах очисні споруди поверхневого стоку.</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Інформацію про комплекс очисних споруд описано в розділі 6 пояснювальної записки</w:t>
            </w: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13</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58416E"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Організацію відведення стічних вод передбачити з дотриманням вимог Водного кодексу України та Правил охорони поверхневих вод від забруднення зворотними водами, затверджених постановою Кабінету Міністрів України від 25.03.1999 № 465.</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14</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58416E"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Вказати рішення щодо теплопостачання проектованих об'єктів.</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На етапі розроблення детального плану</w:t>
            </w:r>
            <w:r w:rsidR="006E7065">
              <w:rPr>
                <w:color w:val="000000" w:themeColor="text1"/>
                <w:sz w:val="20"/>
                <w:szCs w:val="20"/>
                <w:lang w:eastAsia="en-US"/>
              </w:rPr>
              <w:t xml:space="preserve"> </w:t>
            </w:r>
            <w:r>
              <w:rPr>
                <w:color w:val="000000" w:themeColor="text1"/>
                <w:sz w:val="20"/>
                <w:szCs w:val="20"/>
                <w:lang w:eastAsia="en-US"/>
              </w:rPr>
              <w:t>території</w:t>
            </w:r>
            <w:r w:rsidR="006E7065">
              <w:rPr>
                <w:color w:val="000000" w:themeColor="text1"/>
                <w:sz w:val="20"/>
                <w:szCs w:val="20"/>
                <w:lang w:eastAsia="en-US"/>
              </w:rPr>
              <w:t xml:space="preserve"> теплопостачання проектованих </w:t>
            </w:r>
            <w:r w:rsidR="006E7065" w:rsidRPr="0079405D">
              <w:rPr>
                <w:color w:val="000000" w:themeColor="text1"/>
                <w:sz w:val="20"/>
                <w:szCs w:val="20"/>
                <w:lang w:eastAsia="en-US"/>
              </w:rPr>
              <w:t>об'єктів</w:t>
            </w:r>
            <w:r w:rsidR="006E7065">
              <w:rPr>
                <w:color w:val="000000" w:themeColor="text1"/>
                <w:sz w:val="20"/>
                <w:szCs w:val="20"/>
                <w:lang w:eastAsia="en-US"/>
              </w:rPr>
              <w:t xml:space="preserve"> передбачається від котелень, місця їх розташування показано на графічних матеріалах</w:t>
            </w:r>
          </w:p>
        </w:tc>
      </w:tr>
      <w:tr w:rsidR="006E7065"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after="0"/>
              <w:jc w:val="center"/>
              <w:rPr>
                <w:color w:val="000000" w:themeColor="text1"/>
                <w:sz w:val="20"/>
                <w:szCs w:val="20"/>
                <w:lang w:eastAsia="en-US"/>
              </w:rPr>
            </w:pPr>
            <w:r>
              <w:rPr>
                <w:color w:val="000000" w:themeColor="text1"/>
                <w:sz w:val="20"/>
                <w:szCs w:val="20"/>
                <w:lang w:eastAsia="en-US"/>
              </w:rPr>
              <w:t>15</w:t>
            </w:r>
          </w:p>
        </w:tc>
        <w:tc>
          <w:tcPr>
            <w:tcW w:w="2662" w:type="dxa"/>
            <w:tcBorders>
              <w:top w:val="single" w:sz="4" w:space="0" w:color="auto"/>
              <w:left w:val="single" w:sz="4" w:space="0" w:color="auto"/>
              <w:bottom w:val="single" w:sz="4" w:space="0" w:color="auto"/>
              <w:right w:val="single" w:sz="4" w:space="0" w:color="auto"/>
            </w:tcBorders>
          </w:tcPr>
          <w:p w:rsidR="006E7065" w:rsidRPr="00442EE6" w:rsidRDefault="006E7065" w:rsidP="006E7065">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1D4864" w:rsidRDefault="006E7065" w:rsidP="006E7065">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79405D" w:rsidRDefault="006E7065" w:rsidP="006E7065">
            <w:pPr>
              <w:pStyle w:val="a4"/>
              <w:spacing w:after="0"/>
              <w:contextualSpacing/>
              <w:jc w:val="both"/>
              <w:rPr>
                <w:color w:val="000000" w:themeColor="text1"/>
                <w:sz w:val="20"/>
                <w:szCs w:val="20"/>
                <w:lang w:eastAsia="en-US"/>
              </w:rPr>
            </w:pPr>
            <w:r w:rsidRPr="0079405D">
              <w:rPr>
                <w:color w:val="000000" w:themeColor="text1"/>
                <w:sz w:val="20"/>
                <w:szCs w:val="20"/>
                <w:lang w:eastAsia="en-US"/>
              </w:rPr>
              <w:t>Вказати кількість будівель проектованого модульного містечка.</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В текстові матеріали детального плану внесено доповнення</w:t>
            </w: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16</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79405D"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Надати характеристику та кількість проектованих стоянок.</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6E7065"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6E7065" w:rsidP="007A07ED">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 xml:space="preserve">На графічних матеріалах вказана кількість проектованих паркувальних місць на кожній автостоянці окремо, в пояснювальній записці вказана загальна кількість стоянок </w:t>
            </w: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17</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79405D"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Передбачити місця для розміщення майданчиків із контейнерами для роздільного збору відходів.</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18</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79405D" w:rsidRDefault="007A07ED" w:rsidP="007A07ED">
            <w:pPr>
              <w:pStyle w:val="a4"/>
              <w:spacing w:after="0"/>
              <w:contextualSpacing/>
              <w:jc w:val="both"/>
              <w:rPr>
                <w:color w:val="000000" w:themeColor="text1"/>
                <w:sz w:val="20"/>
                <w:szCs w:val="20"/>
                <w:lang w:eastAsia="en-US"/>
              </w:rPr>
            </w:pPr>
            <w:r w:rsidRPr="0079405D">
              <w:rPr>
                <w:color w:val="000000" w:themeColor="text1"/>
                <w:sz w:val="20"/>
                <w:szCs w:val="20"/>
                <w:lang w:eastAsia="en-US"/>
              </w:rPr>
              <w:t>Вивезення та утилізацію відходів здійснювати на підставі укладених договорів зі ліцензованими організаціями, які мають відповідні установки для утилізації відходів.</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19</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79405D" w:rsidRDefault="007A07ED" w:rsidP="007A07ED">
            <w:pPr>
              <w:pStyle w:val="a4"/>
              <w:spacing w:after="0"/>
              <w:contextualSpacing/>
              <w:jc w:val="both"/>
              <w:rPr>
                <w:color w:val="000000" w:themeColor="text1"/>
                <w:sz w:val="20"/>
                <w:szCs w:val="20"/>
                <w:lang w:eastAsia="en-US"/>
              </w:rPr>
            </w:pPr>
            <w:r w:rsidRPr="00995818">
              <w:rPr>
                <w:color w:val="000000" w:themeColor="text1"/>
                <w:sz w:val="20"/>
                <w:szCs w:val="20"/>
                <w:lang w:eastAsia="en-US"/>
              </w:rPr>
              <w:t>Врахувати інтереси суміжних територій.</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7A07ED"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7A07ED" w:rsidRDefault="007A07ED" w:rsidP="007A07ED">
            <w:pPr>
              <w:pStyle w:val="a4"/>
              <w:spacing w:before="0" w:after="0"/>
              <w:jc w:val="center"/>
              <w:rPr>
                <w:color w:val="000000" w:themeColor="text1"/>
                <w:sz w:val="20"/>
                <w:szCs w:val="20"/>
                <w:lang w:eastAsia="en-US"/>
              </w:rPr>
            </w:pPr>
            <w:r>
              <w:rPr>
                <w:color w:val="000000" w:themeColor="text1"/>
                <w:sz w:val="20"/>
                <w:szCs w:val="20"/>
                <w:lang w:eastAsia="en-US"/>
              </w:rPr>
              <w:t>20</w:t>
            </w:r>
          </w:p>
        </w:tc>
        <w:tc>
          <w:tcPr>
            <w:tcW w:w="2662" w:type="dxa"/>
            <w:tcBorders>
              <w:top w:val="single" w:sz="4" w:space="0" w:color="auto"/>
              <w:left w:val="single" w:sz="4" w:space="0" w:color="auto"/>
              <w:bottom w:val="single" w:sz="4" w:space="0" w:color="auto"/>
              <w:right w:val="single" w:sz="4" w:space="0" w:color="auto"/>
            </w:tcBorders>
          </w:tcPr>
          <w:p w:rsidR="007A07ED" w:rsidRPr="00442EE6" w:rsidRDefault="007A07ED" w:rsidP="007A07ED">
            <w:pPr>
              <w:pStyle w:val="a4"/>
              <w:spacing w:before="0" w:after="0"/>
              <w:jc w:val="center"/>
              <w:rPr>
                <w:color w:val="000000" w:themeColor="text1"/>
                <w:sz w:val="20"/>
                <w:szCs w:val="20"/>
              </w:rPr>
            </w:pPr>
            <w:r w:rsidRPr="00D57CBC">
              <w:rPr>
                <w:color w:val="000000" w:themeColor="text1"/>
                <w:sz w:val="20"/>
                <w:szCs w:val="20"/>
              </w:rPr>
              <w:t xml:space="preserve">Департамент екології та природних ресурсів </w:t>
            </w:r>
            <w:r>
              <w:rPr>
                <w:color w:val="000000" w:themeColor="text1"/>
                <w:sz w:val="20"/>
                <w:szCs w:val="20"/>
              </w:rPr>
              <w:t>Львівської</w:t>
            </w:r>
            <w:r w:rsidRPr="00D57CBC">
              <w:rPr>
                <w:color w:val="000000" w:themeColor="text1"/>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7A07ED" w:rsidRPr="001D4864" w:rsidRDefault="007A07ED" w:rsidP="007A07ED">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7A07ED" w:rsidRPr="0079405D" w:rsidRDefault="007A07ED" w:rsidP="007A07ED">
            <w:pPr>
              <w:pStyle w:val="a4"/>
              <w:spacing w:after="0"/>
              <w:contextualSpacing/>
              <w:jc w:val="both"/>
              <w:rPr>
                <w:color w:val="000000" w:themeColor="text1"/>
                <w:sz w:val="20"/>
                <w:szCs w:val="20"/>
                <w:lang w:eastAsia="en-US"/>
              </w:rPr>
            </w:pPr>
            <w:r w:rsidRPr="00995818">
              <w:rPr>
                <w:color w:val="000000" w:themeColor="text1"/>
                <w:sz w:val="20"/>
                <w:szCs w:val="20"/>
                <w:lang w:eastAsia="en-US"/>
              </w:rPr>
              <w:t>Забезпечити врахування зауважень та пропозицій, що надійшли в процесі громадського обговорення та слухання.</w:t>
            </w:r>
          </w:p>
        </w:tc>
        <w:tc>
          <w:tcPr>
            <w:tcW w:w="2757"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7A07ED" w:rsidRPr="002C3D96" w:rsidRDefault="007A07ED" w:rsidP="007A07ED">
            <w:pPr>
              <w:pStyle w:val="a4"/>
              <w:spacing w:before="0" w:beforeAutospacing="0" w:after="0" w:afterAutospacing="0"/>
              <w:contextualSpacing/>
              <w:rPr>
                <w:color w:val="000000" w:themeColor="text1"/>
                <w:sz w:val="20"/>
                <w:szCs w:val="20"/>
                <w:lang w:eastAsia="en-US"/>
              </w:rPr>
            </w:pPr>
          </w:p>
        </w:tc>
      </w:tr>
      <w:tr w:rsidR="006E7065"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after="0"/>
              <w:jc w:val="center"/>
              <w:rPr>
                <w:color w:val="000000" w:themeColor="text1"/>
                <w:sz w:val="20"/>
                <w:szCs w:val="20"/>
                <w:lang w:eastAsia="en-US"/>
              </w:rPr>
            </w:pPr>
            <w:r>
              <w:rPr>
                <w:color w:val="000000" w:themeColor="text1"/>
                <w:sz w:val="20"/>
                <w:szCs w:val="20"/>
                <w:lang w:eastAsia="en-US"/>
              </w:rPr>
              <w:t>21</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1D4864" w:rsidRDefault="006E7065" w:rsidP="006E7065">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995818" w:rsidRDefault="006E7065" w:rsidP="006E7065">
            <w:pPr>
              <w:pStyle w:val="a4"/>
              <w:spacing w:after="0"/>
              <w:contextualSpacing/>
              <w:jc w:val="both"/>
              <w:rPr>
                <w:color w:val="000000" w:themeColor="text1"/>
                <w:sz w:val="20"/>
                <w:szCs w:val="20"/>
                <w:lang w:eastAsia="en-US"/>
              </w:rPr>
            </w:pPr>
            <w:r w:rsidRPr="00953593">
              <w:rPr>
                <w:color w:val="000000" w:themeColor="text1"/>
                <w:sz w:val="20"/>
                <w:szCs w:val="20"/>
                <w:lang w:eastAsia="en-US"/>
              </w:rPr>
              <w:t>Не виконані вимоги п. п. 14.1.1., 14.1.2., ДБН Б.2.2.-12..2019 «Планування та забудова територій» щодо проведення комплексної оцінки території забудови.</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В</w:t>
            </w:r>
            <w:r w:rsidRPr="00953593">
              <w:rPr>
                <w:color w:val="000000" w:themeColor="text1"/>
                <w:sz w:val="20"/>
                <w:szCs w:val="20"/>
                <w:lang w:eastAsia="en-US"/>
              </w:rPr>
              <w:t>имоги п. п. 14.1.1., 14.1.2., ДБН Б.2.2.-12.2019 «Планування та забудова територій» щодо проведення комплексної оцінки території забудови</w:t>
            </w:r>
            <w:r>
              <w:rPr>
                <w:color w:val="000000" w:themeColor="text1"/>
                <w:sz w:val="20"/>
                <w:szCs w:val="20"/>
                <w:lang w:eastAsia="en-US"/>
              </w:rPr>
              <w:t xml:space="preserve"> виконано при виконанні Звіту про стратегічну екологічну оцінку</w:t>
            </w:r>
          </w:p>
        </w:tc>
      </w:tr>
      <w:tr w:rsidR="006E7065" w:rsidRPr="0058416E" w:rsidTr="00A40069">
        <w:trPr>
          <w:gridAfter w:val="1"/>
          <w:wAfter w:w="6" w:type="dxa"/>
          <w:trHeight w:val="1395"/>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after="0"/>
              <w:jc w:val="center"/>
              <w:rPr>
                <w:color w:val="000000" w:themeColor="text1"/>
                <w:sz w:val="20"/>
                <w:szCs w:val="20"/>
                <w:lang w:eastAsia="en-US"/>
              </w:rPr>
            </w:pPr>
            <w:r>
              <w:rPr>
                <w:color w:val="000000" w:themeColor="text1"/>
                <w:sz w:val="20"/>
                <w:szCs w:val="20"/>
                <w:lang w:eastAsia="en-US"/>
              </w:rPr>
              <w:t>22</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1D4864" w:rsidRDefault="006E7065" w:rsidP="006E7065">
            <w:pPr>
              <w:pStyle w:val="a4"/>
              <w:spacing w:before="0" w:after="0"/>
              <w:jc w:val="center"/>
              <w:rPr>
                <w:color w:val="000000" w:themeColor="text1"/>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953593" w:rsidRDefault="006E7065" w:rsidP="006E7065">
            <w:pPr>
              <w:pStyle w:val="a4"/>
              <w:spacing w:after="0"/>
              <w:contextualSpacing/>
              <w:jc w:val="both"/>
              <w:rPr>
                <w:color w:val="000000" w:themeColor="text1"/>
                <w:sz w:val="20"/>
                <w:szCs w:val="20"/>
                <w:lang w:eastAsia="en-US"/>
              </w:rPr>
            </w:pPr>
            <w:r w:rsidRPr="00B84983">
              <w:rPr>
                <w:color w:val="000000" w:themeColor="text1"/>
                <w:sz w:val="20"/>
                <w:szCs w:val="20"/>
                <w:lang w:eastAsia="en-US"/>
              </w:rPr>
              <w:t>Не вказано розміщення споруд дощової каналізації, їх аварійний скид та утилізація відходів з даних споруд</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rPr>
                <w:color w:val="000000" w:themeColor="text1"/>
                <w:sz w:val="20"/>
                <w:szCs w:val="20"/>
                <w:lang w:eastAsia="en-US"/>
              </w:rPr>
            </w:pPr>
            <w:r>
              <w:rPr>
                <w:color w:val="000000" w:themeColor="text1"/>
                <w:sz w:val="20"/>
                <w:szCs w:val="20"/>
                <w:lang w:eastAsia="en-US"/>
              </w:rPr>
              <w:t>Системи дощової каналізації, в тому числі розміщення споруд каналізації, їх скид описано в розділі 6 пояснювальної записки, рішення утилізації відходів з даних споруд буде вирішено на наступних стадіях проектування шляхом заключення договорів із спеціалізованими організаціями</w:t>
            </w:r>
          </w:p>
        </w:tc>
      </w:tr>
      <w:tr w:rsidR="006E7065" w:rsidRPr="003827CE" w:rsidTr="00A40069">
        <w:trPr>
          <w:gridAfter w:val="1"/>
          <w:wAfter w:w="6" w:type="dxa"/>
          <w:trHeight w:val="397"/>
        </w:trPr>
        <w:tc>
          <w:tcPr>
            <w:tcW w:w="11340" w:type="dxa"/>
            <w:gridSpan w:val="5"/>
            <w:tcBorders>
              <w:top w:val="single" w:sz="4" w:space="0" w:color="auto"/>
              <w:left w:val="single" w:sz="4" w:space="0" w:color="auto"/>
              <w:bottom w:val="single" w:sz="4" w:space="0" w:color="auto"/>
              <w:right w:val="single" w:sz="4" w:space="0" w:color="auto"/>
            </w:tcBorders>
            <w:hideMark/>
          </w:tcPr>
          <w:p w:rsidR="006E7065" w:rsidRPr="000904CC" w:rsidRDefault="006E7065" w:rsidP="006E7065">
            <w:pPr>
              <w:pStyle w:val="a4"/>
              <w:spacing w:before="0" w:beforeAutospacing="0" w:after="0" w:afterAutospacing="0"/>
              <w:ind w:firstLine="169"/>
              <w:jc w:val="center"/>
              <w:rPr>
                <w:color w:val="FF0000"/>
                <w:sz w:val="20"/>
                <w:szCs w:val="20"/>
                <w:highlight w:val="yellow"/>
                <w:lang w:val="uk-UA" w:eastAsia="en-US"/>
              </w:rPr>
            </w:pPr>
            <w:r>
              <w:rPr>
                <w:color w:val="000000" w:themeColor="text1"/>
                <w:sz w:val="20"/>
                <w:szCs w:val="20"/>
                <w:lang w:eastAsia="en-US"/>
              </w:rPr>
              <w:t xml:space="preserve">                                                                                      </w:t>
            </w:r>
            <w:r w:rsidRPr="001E1623">
              <w:rPr>
                <w:color w:val="000000" w:themeColor="text1"/>
                <w:sz w:val="20"/>
                <w:szCs w:val="20"/>
                <w:lang w:eastAsia="en-US"/>
              </w:rPr>
              <w:t>До Звіту СЕО</w:t>
            </w:r>
          </w:p>
        </w:tc>
        <w:tc>
          <w:tcPr>
            <w:tcW w:w="4063" w:type="dxa"/>
            <w:tcBorders>
              <w:top w:val="single" w:sz="4" w:space="0" w:color="auto"/>
              <w:left w:val="single" w:sz="4" w:space="0" w:color="auto"/>
              <w:bottom w:val="single" w:sz="4" w:space="0" w:color="auto"/>
              <w:right w:val="single" w:sz="4" w:space="0" w:color="auto"/>
            </w:tcBorders>
          </w:tcPr>
          <w:p w:rsidR="006E7065" w:rsidRPr="000904CC" w:rsidRDefault="006E7065" w:rsidP="006E7065">
            <w:pPr>
              <w:pStyle w:val="a4"/>
              <w:spacing w:before="0" w:beforeAutospacing="0" w:after="0" w:afterAutospacing="0"/>
              <w:ind w:firstLine="169"/>
              <w:jc w:val="center"/>
              <w:rPr>
                <w:color w:val="FF0000"/>
                <w:sz w:val="20"/>
                <w:szCs w:val="20"/>
                <w:highlight w:val="yellow"/>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1</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Дослідити видовий склад біорізноманіття на території опрацювання та прилеглих територіях, визначити можливий вплив на них.</w:t>
            </w:r>
          </w:p>
        </w:tc>
        <w:tc>
          <w:tcPr>
            <w:tcW w:w="2757"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before="0" w:beforeAutospacing="0" w:after="0" w:afterAutospacing="0"/>
              <w:contextualSpacing/>
              <w:jc w:val="center"/>
              <w:rPr>
                <w:color w:val="000000" w:themeColor="text1"/>
                <w:sz w:val="20"/>
                <w:szCs w:val="20"/>
                <w:lang w:val="uk-UA" w:eastAsia="en-US"/>
              </w:rPr>
            </w:pPr>
            <w:r>
              <w:rPr>
                <w:color w:val="000000" w:themeColor="text1"/>
                <w:sz w:val="20"/>
                <w:szCs w:val="20"/>
                <w:lang w:val="uk-UA"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before="0" w:beforeAutospacing="0" w:after="0" w:afterAutospacing="0"/>
              <w:contextualSpacing/>
              <w:jc w:val="both"/>
              <w:rPr>
                <w:sz w:val="20"/>
                <w:szCs w:val="20"/>
                <w:lang w:val="uk-UA" w:eastAsia="en-US"/>
              </w:rPr>
            </w:pPr>
            <w:r w:rsidRPr="00CF47F1">
              <w:rPr>
                <w:sz w:val="20"/>
                <w:szCs w:val="20"/>
                <w:lang w:val="uk-UA" w:eastAsia="en-US"/>
              </w:rPr>
              <w:t xml:space="preserve">На території опрацювання ДПТ цінні зелені насадження відсутні. </w:t>
            </w:r>
            <w:r>
              <w:rPr>
                <w:sz w:val="20"/>
                <w:szCs w:val="20"/>
                <w:lang w:val="uk-UA" w:eastAsia="en-US"/>
              </w:rPr>
              <w:t>Територія зайнята переважно самосівом, чагарниковою та рудеральною рослинністю.</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before="0" w:beforeAutospacing="0" w:after="0" w:afterAutospacing="0"/>
              <w:jc w:val="center"/>
              <w:rPr>
                <w:sz w:val="20"/>
                <w:szCs w:val="20"/>
                <w:lang w:val="uk-UA" w:eastAsia="en-US"/>
              </w:rPr>
            </w:pPr>
            <w:r w:rsidRPr="00CF47F1">
              <w:rPr>
                <w:sz w:val="20"/>
                <w:szCs w:val="20"/>
                <w:lang w:val="uk-UA" w:eastAsia="en-US"/>
              </w:rPr>
              <w:t>2</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CF47F1">
              <w:rPr>
                <w:rFonts w:ascii="Times New Roman" w:hAnsi="Times New Roman" w:cs="Times New Roman"/>
                <w:sz w:val="20"/>
                <w:szCs w:val="20"/>
                <w:lang w:val="uk-UA"/>
              </w:rPr>
              <w:t>Департамент екології та природних ресурсів Львівської обласної державн</w:t>
            </w:r>
            <w:r w:rsidRPr="00D57CBC">
              <w:rPr>
                <w:rFonts w:ascii="Times New Roman" w:hAnsi="Times New Roman" w:cs="Times New Roman"/>
                <w:sz w:val="20"/>
                <w:szCs w:val="20"/>
              </w:rPr>
              <w:t>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Надати інформацію щодо необхідності та кількості видалення зелених насаджень для реалізації проектних рішень.</w:t>
            </w:r>
          </w:p>
        </w:tc>
        <w:tc>
          <w:tcPr>
            <w:tcW w:w="2757"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before="0" w:beforeAutospacing="0" w:after="0" w:afterAutospacing="0"/>
              <w:contextualSpacing/>
              <w:jc w:val="center"/>
              <w:rPr>
                <w:color w:val="000000" w:themeColor="text1"/>
                <w:sz w:val="20"/>
                <w:szCs w:val="20"/>
                <w:lang w:val="uk-UA" w:eastAsia="en-US"/>
              </w:rPr>
            </w:pPr>
            <w:r>
              <w:rPr>
                <w:color w:val="000000" w:themeColor="text1"/>
                <w:sz w:val="20"/>
                <w:szCs w:val="20"/>
                <w:lang w:val="uk-UA"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after="0"/>
              <w:jc w:val="both"/>
              <w:rPr>
                <w:sz w:val="20"/>
                <w:szCs w:val="20"/>
                <w:lang w:val="uk-UA" w:eastAsia="en-US"/>
              </w:rPr>
            </w:pPr>
            <w:r w:rsidRPr="00CF47F1">
              <w:rPr>
                <w:sz w:val="20"/>
                <w:szCs w:val="20"/>
                <w:lang w:val="uk-UA" w:eastAsia="en-US"/>
              </w:rPr>
              <w:t xml:space="preserve">Необхідність та кількість зелених насаджень, що підлягають видаденню буде детально визначена на наступних стадіях проектування. </w:t>
            </w:r>
            <w:r>
              <w:rPr>
                <w:sz w:val="20"/>
                <w:szCs w:val="20"/>
                <w:lang w:val="uk-UA" w:eastAsia="en-US"/>
              </w:rPr>
              <w:t>Водночас, проектом ДПТ передбачено максимальне збереження існуючих зелених насаджень, а також комплексне озеленення території.</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CF47F1" w:rsidRDefault="006E7065" w:rsidP="006E7065">
            <w:pPr>
              <w:pStyle w:val="a4"/>
              <w:spacing w:before="0" w:beforeAutospacing="0" w:after="0" w:afterAutospacing="0"/>
              <w:jc w:val="center"/>
              <w:rPr>
                <w:sz w:val="20"/>
                <w:szCs w:val="20"/>
                <w:lang w:val="uk-UA" w:eastAsia="en-US"/>
              </w:rPr>
            </w:pPr>
            <w:r w:rsidRPr="00CF47F1">
              <w:rPr>
                <w:sz w:val="20"/>
                <w:szCs w:val="20"/>
                <w:lang w:val="uk-UA" w:eastAsia="en-US"/>
              </w:rPr>
              <w:t>3</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CF47F1">
              <w:rPr>
                <w:rFonts w:ascii="Times New Roman" w:hAnsi="Times New Roman" w:cs="Times New Roman"/>
                <w:sz w:val="20"/>
                <w:szCs w:val="20"/>
                <w:lang w:val="uk-UA"/>
              </w:rPr>
              <w:t>Департамент екології та природних ресурсів Львівської обласної державної адмініс</w:t>
            </w:r>
            <w:r w:rsidRPr="00D57CBC">
              <w:rPr>
                <w:rFonts w:ascii="Times New Roman" w:hAnsi="Times New Roman" w:cs="Times New Roman"/>
                <w:sz w:val="20"/>
                <w:szCs w:val="20"/>
              </w:rPr>
              <w:t>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Забезпечити максимальне збереження зелених насаджень.</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after="0"/>
              <w:jc w:val="both"/>
              <w:rPr>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4</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E55185">
              <w:rPr>
                <w:color w:val="000000" w:themeColor="text1"/>
                <w:sz w:val="20"/>
                <w:szCs w:val="20"/>
                <w:lang w:eastAsia="en-US"/>
              </w:rPr>
              <w:t>Надати характеристику та вказати санітарний стан водойми, яка входить в межі опрацювання території детального плану.</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sidRPr="002C3D96">
              <w:rPr>
                <w:color w:val="000000" w:themeColor="text1"/>
                <w:sz w:val="20"/>
                <w:szCs w:val="20"/>
                <w:lang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1248B9">
              <w:rPr>
                <w:color w:val="000000" w:themeColor="text1"/>
                <w:sz w:val="20"/>
                <w:szCs w:val="20"/>
                <w:lang w:eastAsia="en-US"/>
              </w:rPr>
              <w:t>В межі опрацювання території детального плану входить ставок у південній частині території опрацювання. Раніше використовувався для потреб шахти «Зарічна». Перебуває у задовільному стані.</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5</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sidRPr="0079405D">
              <w:rPr>
                <w:color w:val="000000" w:themeColor="text1"/>
                <w:sz w:val="20"/>
                <w:szCs w:val="20"/>
                <w:lang w:val="uk-UA" w:eastAsia="en-US"/>
              </w:rPr>
              <w:t>Вказати характеристики поточного стану довкілля, у тому числі здоров'я населення для території, яка розглядається детальними планом, а не загалом для району та області. Зокрема, в розділі «Характеристика поточного стану довкілля» вказати: стан атмосферного повітря, характеристику та санітарний стан водних об'єктів на території опрацювання ДПТ(за наявності), стан грунту, опис біорізноманіття, здоров'я населення та прогнозні зміни цього стану, якщо документ державного планування не буде затверджено.</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sidRPr="002C3D96">
              <w:rPr>
                <w:color w:val="000000" w:themeColor="text1"/>
                <w:sz w:val="20"/>
                <w:szCs w:val="20"/>
                <w:lang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contextualSpacing/>
              <w:jc w:val="both"/>
              <w:rPr>
                <w:color w:val="000000" w:themeColor="text1"/>
                <w:sz w:val="20"/>
                <w:szCs w:val="20"/>
                <w:lang w:eastAsia="en-US"/>
              </w:rPr>
            </w:pPr>
            <w:r w:rsidRPr="00CF47F1">
              <w:rPr>
                <w:color w:val="000000" w:themeColor="text1"/>
                <w:sz w:val="20"/>
                <w:szCs w:val="20"/>
                <w:lang w:eastAsia="en-US"/>
              </w:rPr>
              <w:t>При аналізі та оцінці поточного стану навколишнього середовища були використані статистичні дані та офіційні дані обласних органів виконавчої влади, що реалізують державну політику у сфері охорони навколишнього природного середовища та реалізують політику у сфері охорони здоров’я. Основними джерелами інформації були: Звіт про результати моніторингу природного довкілля Львівщини, Екологічний паспорт Львівської області, Регіональна доповідь про стан навколишнього середовища у Львівській області, статистичний щорічник Львівської області, статистичний збірник Довкілля Львівської області.</w:t>
            </w:r>
          </w:p>
          <w:p w:rsidR="006E7065" w:rsidRPr="002E1483"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Зважаючи на фактичну відсутність статистичних екологічних даних в розрізі окремих населених пунктів та територіальних громад, було використано інформацію в розрізі колишнього АТУ Львівської області, а саме колишнього Сокальського району.</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6</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sidRPr="0079405D">
              <w:rPr>
                <w:color w:val="000000" w:themeColor="text1"/>
                <w:sz w:val="20"/>
                <w:szCs w:val="20"/>
                <w:lang w:val="uk-UA" w:eastAsia="en-US"/>
              </w:rPr>
              <w:t>Провести розрахунок рівня шумового забруднення з урахуванням проектних рішень. За наявності перевищень передбачити заходи для приведення шумового навантаження до нормативних показників.</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Детальний р</w:t>
            </w:r>
            <w:r w:rsidRPr="0079405D">
              <w:rPr>
                <w:color w:val="000000" w:themeColor="text1"/>
                <w:sz w:val="20"/>
                <w:szCs w:val="20"/>
                <w:lang w:val="uk-UA" w:eastAsia="en-US"/>
              </w:rPr>
              <w:t>озрахунок рівня шумового забруднення з урахуванням проектних рішень</w:t>
            </w:r>
            <w:r>
              <w:rPr>
                <w:color w:val="000000" w:themeColor="text1"/>
                <w:sz w:val="20"/>
                <w:szCs w:val="20"/>
                <w:lang w:val="uk-UA" w:eastAsia="en-US"/>
              </w:rPr>
              <w:t xml:space="preserve"> буде проведено на етапі оцінки вплиу на довкілля планованої діяльності. Відповідно до нього буде розроблятися комплекс заходів </w:t>
            </w:r>
            <w:r w:rsidRPr="0079405D">
              <w:rPr>
                <w:color w:val="000000" w:themeColor="text1"/>
                <w:sz w:val="20"/>
                <w:szCs w:val="20"/>
                <w:lang w:val="uk-UA" w:eastAsia="en-US"/>
              </w:rPr>
              <w:t>приведення шумового навантаження до нормативних показників</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7</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sidRPr="0079405D">
              <w:rPr>
                <w:color w:val="000000" w:themeColor="text1"/>
                <w:sz w:val="20"/>
                <w:szCs w:val="20"/>
                <w:lang w:val="uk-UA" w:eastAsia="en-US"/>
              </w:rPr>
              <w:t>Забезпечити дотримання містобудівних умов та обмежень, інших визначених законодавством планувальних обмежень забудови території та відповідного режиму використання цих територій.</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8</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sidRPr="006D05FE">
              <w:rPr>
                <w:color w:val="000000" w:themeColor="text1"/>
                <w:sz w:val="20"/>
                <w:szCs w:val="20"/>
                <w:lang w:val="uk-UA" w:eastAsia="en-US"/>
              </w:rPr>
              <w:t xml:space="preserve">При визначенні можливих наслідків виконання ДПТ врахувати вплив від усіх проектованих об'єктів па атмосферне повітря; водні об'єкти, які входять </w:t>
            </w:r>
            <w:r>
              <w:rPr>
                <w:color w:val="000000" w:themeColor="text1"/>
                <w:sz w:val="20"/>
                <w:szCs w:val="20"/>
                <w:lang w:val="uk-UA" w:eastAsia="en-US"/>
              </w:rPr>
              <w:t>в межі території опрацювання; вп</w:t>
            </w:r>
            <w:r w:rsidRPr="006D05FE">
              <w:rPr>
                <w:color w:val="000000" w:themeColor="text1"/>
                <w:sz w:val="20"/>
                <w:szCs w:val="20"/>
                <w:lang w:val="uk-UA" w:eastAsia="en-US"/>
              </w:rPr>
              <w:t>лив внаслідок утворення відходів та поводження з ними; вплив на біорізноманіття; та інші можливі наслідки</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val="uk-UA" w:eastAsia="en-US"/>
              </w:rPr>
            </w:pPr>
            <w:r>
              <w:rPr>
                <w:color w:val="000000" w:themeColor="text1"/>
                <w:sz w:val="20"/>
                <w:szCs w:val="20"/>
                <w:lang w:val="uk-UA"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9</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Pr>
                <w:color w:val="000000" w:themeColor="text1"/>
                <w:sz w:val="20"/>
                <w:szCs w:val="20"/>
                <w:lang w:val="uk-UA" w:eastAsia="en-US"/>
              </w:rPr>
              <w:t>У розділі 7 звіту про СЕ</w:t>
            </w:r>
            <w:r w:rsidRPr="006F47BE">
              <w:rPr>
                <w:color w:val="000000" w:themeColor="text1"/>
                <w:sz w:val="20"/>
                <w:szCs w:val="20"/>
                <w:lang w:val="uk-UA" w:eastAsia="en-US"/>
              </w:rPr>
              <w:t>О описати заходи, що передбачається вжити для запобігання, зменшення та пом'якшення негативних наслідків виконання детального плану території. Заходи повинні розроблятись з урахуванням проектних рішень та наслідків виконання документа державного планування, ям забезпечуватимуть гігієнічні нормативи на сельбищній території, в приміщеннях житлових і громадських будівель, відповідно до санітарних норм. Зокрема, передбачити здійснення заходів і впровадження інженерних рішень, що виключають забруднення атмосферного повітря, надр, грунтів, водних ресурсів, розвиток небезпечних геологічних процесів та явищ.</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val="uk-UA" w:eastAsia="en-US"/>
              </w:rPr>
            </w:pPr>
            <w:r>
              <w:rPr>
                <w:color w:val="000000" w:themeColor="text1"/>
                <w:sz w:val="20"/>
                <w:szCs w:val="20"/>
                <w:lang w:val="uk-UA"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10</w:t>
            </w:r>
          </w:p>
        </w:tc>
        <w:tc>
          <w:tcPr>
            <w:tcW w:w="2662" w:type="dxa"/>
            <w:tcBorders>
              <w:top w:val="single" w:sz="4" w:space="0" w:color="auto"/>
              <w:left w:val="single" w:sz="4" w:space="0" w:color="auto"/>
              <w:bottom w:val="single" w:sz="4" w:space="0" w:color="auto"/>
              <w:right w:val="single" w:sz="4" w:space="0" w:color="auto"/>
            </w:tcBorders>
          </w:tcPr>
          <w:p w:rsidR="006E7065" w:rsidRPr="003C62A1" w:rsidRDefault="006E7065" w:rsidP="006E7065">
            <w:pPr>
              <w:jc w:val="center"/>
              <w:rPr>
                <w:rFonts w:ascii="Times New Roman" w:hAnsi="Times New Roman" w:cs="Times New Roman"/>
                <w:sz w:val="20"/>
                <w:szCs w:val="20"/>
              </w:rPr>
            </w:pPr>
            <w:r w:rsidRPr="00D57CBC">
              <w:rPr>
                <w:rFonts w:ascii="Times New Roman" w:hAnsi="Times New Roman" w:cs="Times New Roman"/>
                <w:sz w:val="20"/>
                <w:szCs w:val="20"/>
              </w:rPr>
              <w:t xml:space="preserve">Департамент екології та природних ресурсів </w:t>
            </w:r>
            <w:r>
              <w:rPr>
                <w:rFonts w:ascii="Times New Roman" w:hAnsi="Times New Roman" w:cs="Times New Roman"/>
                <w:sz w:val="20"/>
                <w:szCs w:val="20"/>
              </w:rPr>
              <w:t>Львівської</w:t>
            </w:r>
            <w:r w:rsidRPr="00D57CBC">
              <w:rPr>
                <w:rFonts w:ascii="Times New Roman" w:hAnsi="Times New Roman" w:cs="Times New Roman"/>
                <w:sz w:val="20"/>
                <w:szCs w:val="20"/>
              </w:rPr>
              <w:t xml:space="preserve"> обласної державної адміністрації</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val="uk-UA" w:eastAsia="en-US"/>
              </w:rPr>
            </w:pPr>
            <w:r w:rsidRPr="00995818">
              <w:rPr>
                <w:color w:val="000000" w:themeColor="text1"/>
                <w:sz w:val="20"/>
                <w:szCs w:val="20"/>
                <w:lang w:val="uk-UA" w:eastAsia="en-US"/>
              </w:rPr>
              <w:t>Заходи для здійснення моніторингу передбачити з дотриманням вимог Порядку здійснення моніторингу наслідків виконання документа державного планування для довкілля, у тому числі для здоров'я населення, затвердженого постановою Кабінету Міністрів України від 16.12.2020 № 1272 та статті 17 Закону України «Про стратегічну екологічну оцінку».</w:t>
            </w:r>
          </w:p>
        </w:tc>
        <w:tc>
          <w:tcPr>
            <w:tcW w:w="2757"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 xml:space="preserve">Враховано. </w:t>
            </w:r>
          </w:p>
        </w:tc>
        <w:tc>
          <w:tcPr>
            <w:tcW w:w="4063"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У розділ 9 Звіту про СЕО внесено виправлення.</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11</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84179C" w:rsidRDefault="006E7065" w:rsidP="006E7065">
            <w:pPr>
              <w:pStyle w:val="a4"/>
              <w:spacing w:after="0"/>
              <w:contextualSpacing/>
              <w:jc w:val="both"/>
              <w:rPr>
                <w:color w:val="000000" w:themeColor="text1"/>
                <w:sz w:val="20"/>
                <w:szCs w:val="20"/>
                <w:lang w:eastAsia="en-US"/>
              </w:rPr>
            </w:pPr>
            <w:r w:rsidRPr="0084179C">
              <w:rPr>
                <w:color w:val="000000" w:themeColor="text1"/>
                <w:sz w:val="20"/>
                <w:szCs w:val="20"/>
                <w:lang w:eastAsia="en-US"/>
              </w:rPr>
              <w:t>В Звіті не надана:</w:t>
            </w:r>
          </w:p>
          <w:p w:rsidR="006E7065" w:rsidRPr="0084179C" w:rsidRDefault="006E7065" w:rsidP="006E7065">
            <w:pPr>
              <w:pStyle w:val="a4"/>
              <w:spacing w:after="0"/>
              <w:contextualSpacing/>
              <w:jc w:val="both"/>
              <w:rPr>
                <w:color w:val="000000" w:themeColor="text1"/>
                <w:sz w:val="20"/>
                <w:szCs w:val="20"/>
                <w:lang w:eastAsia="en-US"/>
              </w:rPr>
            </w:pPr>
            <w:r>
              <w:rPr>
                <w:color w:val="000000" w:themeColor="text1"/>
                <w:sz w:val="20"/>
                <w:szCs w:val="20"/>
                <w:lang w:eastAsia="en-US"/>
              </w:rPr>
              <w:t xml:space="preserve">- </w:t>
            </w:r>
            <w:r w:rsidRPr="0084179C">
              <w:rPr>
                <w:color w:val="000000" w:themeColor="text1"/>
                <w:sz w:val="20"/>
                <w:szCs w:val="20"/>
                <w:lang w:eastAsia="en-US"/>
              </w:rPr>
              <w:t>характеристика поточного стану довкілля, в.т.ч. здоров'я населення, та прогнозні зміни цього стану (за адміністративними даними, статистичною інформацією та результатами досліджень) відповідно до підпункту 2 пункту 2 ст. 11 Закону.</w:t>
            </w:r>
          </w:p>
          <w:p w:rsidR="006E7065"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 xml:space="preserve">- </w:t>
            </w:r>
            <w:r w:rsidRPr="0084179C">
              <w:rPr>
                <w:color w:val="000000" w:themeColor="text1"/>
                <w:sz w:val="20"/>
                <w:szCs w:val="20"/>
                <w:lang w:eastAsia="en-US"/>
              </w:rPr>
              <w:t>характеристика стану довкілля, умов життєдіяльності населення та його здоров'я на територіях, які ймовірно зазнають впливу (за адміністративними даними, статистичною інформацією та результатами досліджень) відповідно до підпункту 3 пункту 2 ст.11 Закону.</w:t>
            </w:r>
          </w:p>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BC5B99">
              <w:rPr>
                <w:color w:val="000000" w:themeColor="text1"/>
                <w:sz w:val="20"/>
                <w:szCs w:val="20"/>
                <w:lang w:eastAsia="en-US"/>
              </w:rPr>
              <w:t>- не висвітлені екологічні проблеми, у тому числі ризики впливу на здоров'я населення, які стосуються документа державного планування згідно підпункту 4 пункту 2 от. 11 Закону.</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sidRPr="002C3D96">
              <w:rPr>
                <w:color w:val="000000" w:themeColor="text1"/>
                <w:sz w:val="20"/>
                <w:szCs w:val="20"/>
                <w:lang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contextualSpacing/>
              <w:jc w:val="both"/>
              <w:rPr>
                <w:color w:val="000000" w:themeColor="text1"/>
                <w:sz w:val="20"/>
                <w:szCs w:val="20"/>
                <w:lang w:eastAsia="en-US"/>
              </w:rPr>
            </w:pPr>
            <w:r w:rsidRPr="00CF47F1">
              <w:rPr>
                <w:color w:val="000000" w:themeColor="text1"/>
                <w:sz w:val="20"/>
                <w:szCs w:val="20"/>
                <w:lang w:eastAsia="en-US"/>
              </w:rPr>
              <w:t>При аналізі та оцінці поточного стану навколишнього середовища були використані статистичні дані та офіційні дані обласних органів виконавчої влади, що реалізують державну політику у сфері охорони навколишнього природного середовища та реалізують політику у сфері охорони здоров’я. Основними джерелами інформації були: Звіт про результати моніторингу природного довкілля Львівщини, Екологічний паспорт Львівської області, Регіональна доповідь про стан навколишнього середовища у Львівській області, статистичний щорічник Львівської області, статистичний збірник Довкілля Львівської області.</w:t>
            </w:r>
          </w:p>
          <w:p w:rsidR="006E7065" w:rsidRPr="002E1483"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Зважаючи на фактичну відсутність статистичних екологічних даних в розрізі окремих населених пунктів та територіальних громад, було використано інформацію в розрізі колишнього АТУ Львівської області, а саме колишнього Сокальського району.</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Default="006E7065" w:rsidP="006E7065">
            <w:pPr>
              <w:pStyle w:val="a4"/>
              <w:spacing w:before="0" w:beforeAutospacing="0" w:after="0" w:afterAutospacing="0"/>
              <w:jc w:val="center"/>
              <w:rPr>
                <w:sz w:val="20"/>
                <w:szCs w:val="20"/>
                <w:lang w:eastAsia="en-US"/>
              </w:rPr>
            </w:pPr>
            <w:r>
              <w:rPr>
                <w:sz w:val="20"/>
                <w:szCs w:val="20"/>
                <w:lang w:eastAsia="en-US"/>
              </w:rPr>
              <w:t>12</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3F5328"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BC5B99" w:rsidRDefault="006E7065" w:rsidP="006E7065">
            <w:pPr>
              <w:pStyle w:val="a4"/>
              <w:spacing w:after="0"/>
              <w:contextualSpacing/>
              <w:jc w:val="both"/>
              <w:rPr>
                <w:color w:val="000000" w:themeColor="text1"/>
                <w:sz w:val="20"/>
                <w:szCs w:val="20"/>
                <w:lang w:eastAsia="en-US"/>
              </w:rPr>
            </w:pPr>
            <w:r w:rsidRPr="00BC5B99">
              <w:rPr>
                <w:color w:val="000000" w:themeColor="text1"/>
                <w:sz w:val="20"/>
                <w:szCs w:val="20"/>
                <w:lang w:eastAsia="en-US"/>
              </w:rPr>
              <w:t>Не проведена гігієнічна оцінка стану навколишнього середовища (атмосферного повітря, водних ресурсів, грунту) за результатами лабораторних досліджень шкідливих факторів на підставі гігієнічних нормативів, затверджених у встановленому порядку:</w:t>
            </w:r>
          </w:p>
          <w:p w:rsidR="006E7065" w:rsidRPr="00BC5B99" w:rsidRDefault="006E7065" w:rsidP="006E7065">
            <w:pPr>
              <w:pStyle w:val="a4"/>
              <w:spacing w:after="0"/>
              <w:contextualSpacing/>
              <w:jc w:val="both"/>
              <w:rPr>
                <w:color w:val="000000" w:themeColor="text1"/>
                <w:sz w:val="20"/>
                <w:szCs w:val="20"/>
                <w:lang w:eastAsia="en-US"/>
              </w:rPr>
            </w:pPr>
            <w:r w:rsidRPr="00BC5B99">
              <w:rPr>
                <w:color w:val="000000" w:themeColor="text1"/>
                <w:sz w:val="20"/>
                <w:szCs w:val="20"/>
                <w:lang w:eastAsia="en-US"/>
              </w:rPr>
              <w:t>- для хімічних факторів;</w:t>
            </w:r>
          </w:p>
          <w:p w:rsidR="006E7065" w:rsidRPr="00BC5B99" w:rsidRDefault="006E7065" w:rsidP="006E7065">
            <w:pPr>
              <w:pStyle w:val="a4"/>
              <w:spacing w:after="0"/>
              <w:contextualSpacing/>
              <w:jc w:val="both"/>
              <w:rPr>
                <w:color w:val="000000" w:themeColor="text1"/>
                <w:sz w:val="20"/>
                <w:szCs w:val="20"/>
                <w:lang w:eastAsia="en-US"/>
              </w:rPr>
            </w:pPr>
            <w:r w:rsidRPr="00BC5B99">
              <w:rPr>
                <w:color w:val="000000" w:themeColor="text1"/>
                <w:sz w:val="20"/>
                <w:szCs w:val="20"/>
                <w:lang w:eastAsia="en-US"/>
              </w:rPr>
              <w:t>- для фізичних факторів</w:t>
            </w:r>
            <w:r>
              <w:rPr>
                <w:color w:val="000000" w:themeColor="text1"/>
                <w:sz w:val="20"/>
                <w:szCs w:val="20"/>
                <w:lang w:eastAsia="en-US"/>
              </w:rPr>
              <w:t xml:space="preserve"> </w:t>
            </w:r>
            <w:r w:rsidRPr="00BC5B99">
              <w:rPr>
                <w:color w:val="000000" w:themeColor="text1"/>
                <w:sz w:val="20"/>
                <w:szCs w:val="20"/>
                <w:lang w:eastAsia="en-US"/>
              </w:rPr>
              <w:t>(електромагнітні випромінювання, шум, вібрація);</w:t>
            </w:r>
          </w:p>
          <w:p w:rsidR="006E7065" w:rsidRPr="00BC5B99" w:rsidRDefault="006E7065" w:rsidP="006E7065">
            <w:pPr>
              <w:pStyle w:val="a4"/>
              <w:spacing w:after="0"/>
              <w:contextualSpacing/>
              <w:jc w:val="both"/>
              <w:rPr>
                <w:color w:val="000000" w:themeColor="text1"/>
                <w:sz w:val="20"/>
                <w:szCs w:val="20"/>
                <w:lang w:eastAsia="en-US"/>
              </w:rPr>
            </w:pPr>
            <w:r w:rsidRPr="00BC5B99">
              <w:rPr>
                <w:color w:val="000000" w:themeColor="text1"/>
                <w:sz w:val="20"/>
                <w:szCs w:val="20"/>
                <w:lang w:eastAsia="en-US"/>
              </w:rPr>
              <w:t>- для радіаційного фактора;</w:t>
            </w:r>
          </w:p>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BC5B99">
              <w:rPr>
                <w:color w:val="000000" w:themeColor="text1"/>
                <w:sz w:val="20"/>
                <w:szCs w:val="20"/>
                <w:lang w:eastAsia="en-US"/>
              </w:rPr>
              <w:t>- для біологічних факторів -</w:t>
            </w:r>
            <w:r>
              <w:rPr>
                <w:color w:val="000000" w:themeColor="text1"/>
                <w:sz w:val="20"/>
                <w:szCs w:val="20"/>
                <w:lang w:eastAsia="en-US"/>
              </w:rPr>
              <w:t xml:space="preserve"> </w:t>
            </w:r>
            <w:r w:rsidRPr="00BC5B99">
              <w:rPr>
                <w:color w:val="000000" w:themeColor="text1"/>
                <w:sz w:val="20"/>
                <w:szCs w:val="20"/>
                <w:lang w:eastAsia="en-US"/>
              </w:rPr>
              <w:t>згідно пункту 8.2. ДСП - 173-96.</w:t>
            </w:r>
          </w:p>
        </w:tc>
        <w:tc>
          <w:tcPr>
            <w:tcW w:w="2757" w:type="dxa"/>
            <w:tcBorders>
              <w:top w:val="single" w:sz="4" w:space="0" w:color="auto"/>
              <w:left w:val="single" w:sz="4" w:space="0" w:color="auto"/>
              <w:bottom w:val="single" w:sz="4" w:space="0" w:color="auto"/>
              <w:right w:val="single" w:sz="4" w:space="0" w:color="auto"/>
            </w:tcBorders>
          </w:tcPr>
          <w:p w:rsidR="006E7065" w:rsidRPr="002E1483"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val="uk-UA" w:eastAsia="en-US"/>
              </w:rPr>
              <w:t>В</w:t>
            </w:r>
            <w:r>
              <w:rPr>
                <w:color w:val="000000" w:themeColor="text1"/>
                <w:sz w:val="20"/>
                <w:szCs w:val="20"/>
                <w:lang w:eastAsia="en-US"/>
              </w:rPr>
              <w:t>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2E1483"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Спеціалізовані лабораторні дослідження будуть проведені на наступних стадіях проектування, зокрема під час проведення процедури оцінки впливу на довкілля планової діяльності.</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val="uk-UA" w:eastAsia="en-US"/>
              </w:rPr>
            </w:pPr>
            <w:r>
              <w:rPr>
                <w:sz w:val="20"/>
                <w:szCs w:val="20"/>
                <w:lang w:val="uk-UA" w:eastAsia="en-US"/>
              </w:rPr>
              <w:t>13</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val="uk-UA"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953593">
              <w:rPr>
                <w:color w:val="000000" w:themeColor="text1"/>
                <w:sz w:val="20"/>
                <w:szCs w:val="20"/>
                <w:lang w:eastAsia="en-US"/>
              </w:rPr>
              <w:t>У звіті не обгрунтовано питання щодо можливості розміщення індустріального парку в санітарно-захисній зоні терикону. Не дотримані вимоги п.  8.33. ДСП - 173-96 щодо необхідності встановлення розрахунковим методом ССЗ терикону. Санітарно-захисна зона терикону на кресленнях Детального плану території індустріального парку не нанесена. В звіті відсутні заходи щодо проведення рекультивації породного відвалу.</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Породні відвали ліквідованих шахт у межах Львівсько-Волинського вугільного басейну переформатовують із конічної форми у плоску з метою запобігання горінню відвальної породи та подальшої їх рекультивації. Однак не всі відвали переформатовані з різних причин та потребують озеленення.</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Рекультивація териконів вугільних шахт передбачає три етапи – підготовчий, технічний та біологічний. У межах Львівсько-Волинського вугільного басейну планування та проведення рекультиваційних робіт здійснює спеціальна організація − Західноукраїнська виконавча дирекція з ліквідації шахт.</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Підготовчий етап рекультивації териконів ліквідованих шахт передбачає згрібання зрізаного або викорчуваного середнього чагарничка і дрібнолісся граблями на тракторі потужністю 79 кВт (108 к.с.) з переміщенням до 20 м; облаштування дороги на відвал бульдозерами потужністю 96 кВт (130 к.с.) з переміщенням ґрунту до 10 м; планування поверхні дороги механізованим способом. </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Технічний етап передбачає подрібнення породи шпуровими зарядами; розчищення кам'яно-ловильної канави; транспортування ґрунту на відвал; розроблення породи на відвалі бульдозерами потужністю 96 кВт (130 к.с.) з переміщенням ґрунту до 10 м; розрівнювання породи на відвалі бульдозерами потужністю 96 кВт (130 к.с.) з переміщенням ґрунту; розроблення потенційно родючого ґрунту з навантаженням на автомобілі-самоскиди екскаваторами одноківшевими дизельними на гусеничному ході з ковшем місткістю 0,5 (0,5-0,63) м 3 ; розроблення водовідвідних канав. </w:t>
            </w:r>
          </w:p>
          <w:p w:rsidR="006E7065" w:rsidRPr="001248B9" w:rsidRDefault="006E7065" w:rsidP="006E7065">
            <w:pPr>
              <w:pStyle w:val="a4"/>
              <w:spacing w:before="0" w:beforeAutospacing="0" w:after="0" w:afterAutospacing="0"/>
              <w:contextualSpacing/>
              <w:jc w:val="both"/>
              <w:rPr>
                <w:color w:val="000000" w:themeColor="text1"/>
                <w:sz w:val="20"/>
                <w:szCs w:val="20"/>
                <w:lang w:val="uk-UA" w:eastAsia="en-US"/>
              </w:rPr>
            </w:pPr>
            <w:r w:rsidRPr="001248B9">
              <w:rPr>
                <w:color w:val="000000" w:themeColor="text1"/>
                <w:sz w:val="20"/>
                <w:szCs w:val="20"/>
                <w:lang w:val="uk-UA" w:eastAsia="en-US"/>
              </w:rPr>
              <w:t>Біологічний етап рекультивації передбачає підготовку механізованим способом стандартних місць для садіння дерев-саджанців; висівання багаторічних трав; догляд за культурфітоценозами.</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val="uk-UA" w:eastAsia="en-US"/>
              </w:rPr>
            </w:pPr>
            <w:r>
              <w:rPr>
                <w:sz w:val="20"/>
                <w:szCs w:val="20"/>
                <w:lang w:val="uk-UA" w:eastAsia="en-US"/>
              </w:rPr>
              <w:t>14</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val="uk-UA"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56624" w:rsidRDefault="006E7065" w:rsidP="006E7065">
            <w:pPr>
              <w:pStyle w:val="a4"/>
              <w:spacing w:before="0" w:beforeAutospacing="0" w:after="0" w:afterAutospacing="0"/>
              <w:contextualSpacing/>
              <w:jc w:val="both"/>
              <w:rPr>
                <w:color w:val="000000" w:themeColor="text1"/>
                <w:sz w:val="20"/>
                <w:szCs w:val="20"/>
                <w:lang w:val="uk-UA" w:eastAsia="en-US"/>
              </w:rPr>
            </w:pPr>
            <w:r w:rsidRPr="00256624">
              <w:rPr>
                <w:color w:val="000000" w:themeColor="text1"/>
                <w:sz w:val="20"/>
                <w:szCs w:val="20"/>
                <w:lang w:val="uk-UA" w:eastAsia="en-US"/>
              </w:rPr>
              <w:t>В санітарно-захисній зоні очисних споруд 100 метрів частково розміщуються механізовані склади готової продукції та цехи з виробництва твердих сирів та морозива, адміністративний корпус, експедиційний центр.</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У санітарно-захисній зоні допускається розташовувати: </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 пожежні депо, лазні, пральні, гаражі, склади (крім громадських та спеціалізованих), будівлі управлінь, конструкторських бюро, учбових закладів, виробничо-технічні училища без гуртожитків, магазини, підприємства громадського харчування, поліклініки, науково-дослідні лабораторії, пов'язані з обслуговуванням даного та прилеглих підприємств; </w:t>
            </w:r>
          </w:p>
          <w:p w:rsidR="006E7065" w:rsidRPr="001248B9" w:rsidRDefault="006E7065" w:rsidP="006E7065">
            <w:pPr>
              <w:pStyle w:val="a4"/>
              <w:spacing w:before="0" w:beforeAutospacing="0" w:after="0" w:afterAutospacing="0"/>
              <w:contextualSpacing/>
              <w:jc w:val="both"/>
              <w:rPr>
                <w:color w:val="000000" w:themeColor="text1"/>
                <w:sz w:val="20"/>
                <w:szCs w:val="20"/>
                <w:lang w:val="uk-UA" w:eastAsia="en-US"/>
              </w:rPr>
            </w:pPr>
            <w:r w:rsidRPr="001248B9">
              <w:rPr>
                <w:color w:val="000000" w:themeColor="text1"/>
                <w:sz w:val="20"/>
                <w:szCs w:val="20"/>
                <w:lang w:val="uk-UA" w:eastAsia="en-US"/>
              </w:rPr>
              <w:t>- приміщення для чергового аварійного персоналу та добової охорони підприємств за встановленим списочним складом, стоянки для громадського та індивідуального транспорту, місцеві та транзитні комунікації, ЛЕП, електростанції, нафто- і газопроводи, свердловини для технічного водопостачання, водоохолоджуючі споруди, споруди для підготовки технічної води, каналізаційні насосні станції, споруди оборотного водопостачання, розсадники рослин для озеленення підприємств та санітарно-захисної зони.</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val="uk-UA" w:eastAsia="en-US"/>
              </w:rPr>
            </w:pPr>
            <w:r>
              <w:rPr>
                <w:sz w:val="20"/>
                <w:szCs w:val="20"/>
                <w:lang w:val="uk-UA" w:eastAsia="en-US"/>
              </w:rPr>
              <w:t>15</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val="uk-UA"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601D47" w:rsidRDefault="006E7065" w:rsidP="006E7065">
            <w:pPr>
              <w:pStyle w:val="a4"/>
              <w:spacing w:before="0" w:beforeAutospacing="0" w:after="0" w:afterAutospacing="0"/>
              <w:contextualSpacing/>
              <w:jc w:val="both"/>
              <w:rPr>
                <w:color w:val="000000" w:themeColor="text1"/>
                <w:sz w:val="20"/>
                <w:szCs w:val="20"/>
                <w:lang w:val="uk-UA" w:eastAsia="en-US"/>
              </w:rPr>
            </w:pPr>
            <w:r w:rsidRPr="00256624">
              <w:rPr>
                <w:color w:val="000000" w:themeColor="text1"/>
                <w:sz w:val="20"/>
                <w:szCs w:val="20"/>
                <w:lang w:val="uk-UA" w:eastAsia="en-US"/>
              </w:rPr>
              <w:t>Згідно звіту про СЕО на сторінці 40 вказано, що об'єм водопостачання визначається технологічними проблемами, а на сторінці 41 відзначено, що основним джерелом водопостачання передбачається від існуючого господарсько-питного протипожежного водопроводу діаметром 400 мм , що раніше використовувався на потреби шахти.</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1248B9" w:rsidRDefault="006E7065" w:rsidP="006E7065">
            <w:pPr>
              <w:pStyle w:val="a4"/>
              <w:spacing w:after="0"/>
              <w:contextualSpacing/>
              <w:jc w:val="both"/>
              <w:rPr>
                <w:color w:val="000000" w:themeColor="text1"/>
                <w:sz w:val="20"/>
                <w:szCs w:val="20"/>
                <w:lang w:eastAsia="en-US"/>
              </w:rPr>
            </w:pPr>
            <w:r w:rsidRPr="001248B9">
              <w:rPr>
                <w:color w:val="000000" w:themeColor="text1"/>
                <w:sz w:val="20"/>
                <w:szCs w:val="20"/>
                <w:lang w:eastAsia="en-US"/>
              </w:rPr>
              <w:t>Будівництво інженерних мереж та споруд здійснюється згідно спеціальних проектів (або розділів проектів), а об’єми водопостачання та енергоспоживання проектованого комплексу визначаються технологічними потребами. В зв’язку із різною специфікою діяльності та географічними особливостями території, зарезервованої для потреб індустріального парку, пропонується для кожного із районів Індустріального парку створення окремих вузлів інженерної інфраструктури, які будуть пов’язані між собою магістральними ділянками інженерних мереж.</w:t>
            </w:r>
          </w:p>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1248B9">
              <w:rPr>
                <w:color w:val="000000" w:themeColor="text1"/>
                <w:sz w:val="20"/>
                <w:szCs w:val="20"/>
                <w:lang w:eastAsia="en-US"/>
              </w:rPr>
              <w:t>Основним джерелом водопостачання для задоволення питних потреб індустріального парку приймається існуючий кільцевий господарсько-питний-протипожежний водопровід Ø400, що раніше забезпечував потреби шахт</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eastAsia="en-US"/>
              </w:rPr>
            </w:pPr>
            <w:r>
              <w:rPr>
                <w:sz w:val="20"/>
                <w:szCs w:val="20"/>
                <w:lang w:eastAsia="en-US"/>
              </w:rPr>
              <w:t>16</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Відсутня санітарно-</w:t>
            </w:r>
            <w:r w:rsidRPr="00256624">
              <w:rPr>
                <w:color w:val="000000" w:themeColor="text1"/>
                <w:sz w:val="20"/>
                <w:szCs w:val="20"/>
                <w:lang w:eastAsia="en-US"/>
              </w:rPr>
              <w:t>гігієнічна оцінка водопостачання відповідно до п.8.11 ДСП - 173 з точки зору забезпечення водою в необхідній кількості і потрібної якості потреб нас</w:t>
            </w:r>
            <w:r>
              <w:rPr>
                <w:color w:val="000000" w:themeColor="text1"/>
                <w:sz w:val="20"/>
                <w:szCs w:val="20"/>
                <w:lang w:eastAsia="en-US"/>
              </w:rPr>
              <w:t>елення, проектованого ІП та ін.</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Pr="00824BCB" w:rsidRDefault="006E7065" w:rsidP="006E7065">
            <w:pPr>
              <w:pStyle w:val="a4"/>
              <w:spacing w:before="0" w:beforeAutospacing="0" w:after="0" w:afterAutospacing="0"/>
              <w:contextualSpacing/>
              <w:jc w:val="both"/>
              <w:rPr>
                <w:sz w:val="20"/>
                <w:szCs w:val="20"/>
                <w:lang w:eastAsia="en-US"/>
              </w:rPr>
            </w:pPr>
            <w:r>
              <w:rPr>
                <w:color w:val="000000" w:themeColor="text1"/>
                <w:sz w:val="20"/>
                <w:szCs w:val="20"/>
                <w:lang w:eastAsia="en-US"/>
              </w:rPr>
              <w:t>Санітарно-</w:t>
            </w:r>
            <w:r w:rsidRPr="00256624">
              <w:rPr>
                <w:color w:val="000000" w:themeColor="text1"/>
                <w:sz w:val="20"/>
                <w:szCs w:val="20"/>
                <w:lang w:eastAsia="en-US"/>
              </w:rPr>
              <w:t xml:space="preserve">гігієнічна оцінка водопостачання відповідно до п.8.11 ДСП </w:t>
            </w:r>
            <w:r>
              <w:rPr>
                <w:color w:val="000000" w:themeColor="text1"/>
                <w:sz w:val="20"/>
                <w:szCs w:val="20"/>
                <w:lang w:eastAsia="en-US"/>
              </w:rPr>
              <w:t>–</w:t>
            </w:r>
            <w:r w:rsidRPr="00256624">
              <w:rPr>
                <w:color w:val="000000" w:themeColor="text1"/>
                <w:sz w:val="20"/>
                <w:szCs w:val="20"/>
                <w:lang w:eastAsia="en-US"/>
              </w:rPr>
              <w:t xml:space="preserve"> 173</w:t>
            </w:r>
            <w:r>
              <w:rPr>
                <w:color w:val="000000" w:themeColor="text1"/>
                <w:sz w:val="20"/>
                <w:szCs w:val="20"/>
                <w:lang w:eastAsia="en-US"/>
              </w:rPr>
              <w:t xml:space="preserve"> буде проведена на наступних стадіях проектування.</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eastAsia="en-US"/>
              </w:rPr>
            </w:pPr>
            <w:r>
              <w:rPr>
                <w:sz w:val="20"/>
                <w:szCs w:val="20"/>
                <w:lang w:eastAsia="en-US"/>
              </w:rPr>
              <w:t>17</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0E67C1">
              <w:rPr>
                <w:color w:val="000000" w:themeColor="text1"/>
                <w:sz w:val="20"/>
                <w:szCs w:val="20"/>
                <w:lang w:eastAsia="en-US"/>
              </w:rPr>
              <w:t>Джерелом водопостачання побутових виробничих потреб пропонується вода з системи оборотного водопостачання (ОВ) після очисних споруд дощових та талих вод. Згідно нормативних документів вода, що надається для побутового обслуговування працюючих повинна відповідати вимогам Державних санітарних норм та правил «Гігієнічні вимоги до води питної, призначеної для споживання людиною».</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eastAsia="en-US"/>
              </w:rPr>
            </w:pPr>
            <w:r>
              <w:rPr>
                <w:sz w:val="20"/>
                <w:szCs w:val="20"/>
                <w:lang w:eastAsia="en-US"/>
              </w:rPr>
              <w:t>18</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0E67C1">
              <w:rPr>
                <w:color w:val="000000" w:themeColor="text1"/>
                <w:sz w:val="20"/>
                <w:szCs w:val="20"/>
                <w:lang w:eastAsia="en-US"/>
              </w:rPr>
              <w:t>Відповідно до п.10 табл.44 «Оцінка ймовірного впливу» передбачено збільшення навантаження на КОС та погіршення якості очистки стічних вод, разом з тим п.8.16 ДСП -173 визначено, що скидання стічних вод у водоймища не повинно погіршувати якості води в місцях водокористування. Відсутня гігієнічна оцінка очис</w:t>
            </w:r>
            <w:r>
              <w:rPr>
                <w:color w:val="000000" w:themeColor="text1"/>
                <w:sz w:val="20"/>
                <w:szCs w:val="20"/>
                <w:lang w:eastAsia="en-US"/>
              </w:rPr>
              <w:t>тки стічних вод на існуючих КОС</w:t>
            </w:r>
            <w:r w:rsidRPr="000E67C1">
              <w:rPr>
                <w:color w:val="000000" w:themeColor="text1"/>
                <w:sz w:val="20"/>
                <w:szCs w:val="20"/>
                <w:lang w:eastAsia="en-US"/>
              </w:rPr>
              <w:t>, не вказана можлив</w:t>
            </w:r>
            <w:r>
              <w:rPr>
                <w:color w:val="000000" w:themeColor="text1"/>
                <w:sz w:val="20"/>
                <w:szCs w:val="20"/>
                <w:lang w:eastAsia="en-US"/>
              </w:rPr>
              <w:t>ість прийняття стічних вод від ІП</w:t>
            </w:r>
            <w:r w:rsidRPr="000E67C1">
              <w:rPr>
                <w:color w:val="000000" w:themeColor="text1"/>
                <w:sz w:val="20"/>
                <w:szCs w:val="20"/>
                <w:lang w:eastAsia="en-US"/>
              </w:rPr>
              <w:t xml:space="preserve"> (індустріального парку).</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Буде враховано на наступних етапах проектування та реалізації положень містобудівної документації.</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val="uk-UA" w:eastAsia="en-US"/>
              </w:rPr>
            </w:pPr>
            <w:r>
              <w:rPr>
                <w:sz w:val="20"/>
                <w:szCs w:val="20"/>
                <w:lang w:val="uk-UA" w:eastAsia="en-US"/>
              </w:rPr>
              <w:t>19</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val="uk-UA"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sidRPr="001967FA">
              <w:rPr>
                <w:color w:val="000000" w:themeColor="text1"/>
                <w:sz w:val="20"/>
                <w:szCs w:val="20"/>
                <w:lang w:eastAsia="en-US"/>
              </w:rPr>
              <w:t>Розділ «Прогнозні зміни стану довкілля, в тому числі здоров'я населення» (стор. 23) потребує доопрацювання, з визначенням ризиків впливу на здоров'я населення у відповідності до підпункту 4 пункту 2 ст. 11 Закону, опис наслідків для здоров'я згідно підпункту 6 пункту 2 ст. 11 Закону та визначення додаткових конкретних заходів, що передбачається вжити для запобігання, зменшення та пом'якшення негативних наслідків на здоров'я населення згідно підпункту 7 пункту 2 ст. 11 при реалізації проекту.</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w:t>
            </w:r>
            <w:r w:rsidRPr="002C3D96">
              <w:rPr>
                <w:color w:val="000000" w:themeColor="text1"/>
                <w:sz w:val="20"/>
                <w:szCs w:val="20"/>
                <w:lang w:eastAsia="en-US"/>
              </w:rPr>
              <w:t>раховано</w:t>
            </w:r>
          </w:p>
        </w:tc>
        <w:tc>
          <w:tcPr>
            <w:tcW w:w="4063" w:type="dxa"/>
            <w:tcBorders>
              <w:top w:val="single" w:sz="4" w:space="0" w:color="auto"/>
              <w:left w:val="single" w:sz="4" w:space="0" w:color="auto"/>
              <w:bottom w:val="single" w:sz="4" w:space="0" w:color="auto"/>
              <w:right w:val="single" w:sz="4" w:space="0" w:color="auto"/>
            </w:tcBorders>
          </w:tcPr>
          <w:p w:rsidR="006E7065" w:rsidRPr="001248B9" w:rsidRDefault="006E7065" w:rsidP="006E7065">
            <w:pPr>
              <w:pStyle w:val="a4"/>
              <w:spacing w:before="0" w:beforeAutospacing="0" w:after="0" w:afterAutospacing="0"/>
              <w:contextualSpacing/>
              <w:jc w:val="both"/>
              <w:rPr>
                <w:color w:val="000000" w:themeColor="text1"/>
                <w:sz w:val="20"/>
                <w:szCs w:val="20"/>
                <w:lang w:eastAsia="en-US"/>
              </w:rPr>
            </w:pPr>
            <w:r w:rsidRPr="001248B9">
              <w:rPr>
                <w:color w:val="000000" w:themeColor="text1"/>
                <w:sz w:val="20"/>
                <w:szCs w:val="20"/>
                <w:lang w:eastAsia="en-US"/>
              </w:rPr>
              <w:t>У розділ 4 Звіту про СЕО внесено уточнення.</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Оцінка головних впливів на довкілля та здоров’я населення. </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Згідно досліджень науковців за інтенсивністю впливу різних чинників виділяються наступні залежності.</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 xml:space="preserve">На чинники соціально-економічного характеру, до яких відносяться паління, вживання наркотиків, зловживання алкоголем, праця в шкідливих умовах, нераціональне харчування, стреси, гіподинамія, незадовільні побутові умови та гіперурбанізація припадає 51-52% загального впливу. </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Чинник стану навколишнього природного середовища (зокрема, забруднення повітря, води, ґрунту, фізичні фактори впливу) охоплює 20-21% впливу.</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Генетично-біологічні фактори (спадковість, стать тощо) впливають на 19-20%.</w:t>
            </w:r>
          </w:p>
          <w:p w:rsidR="006E7065" w:rsidRPr="001248B9" w:rsidRDefault="006E7065" w:rsidP="006E7065">
            <w:pPr>
              <w:pStyle w:val="a4"/>
              <w:spacing w:after="0"/>
              <w:contextualSpacing/>
              <w:jc w:val="both"/>
              <w:rPr>
                <w:color w:val="000000" w:themeColor="text1"/>
                <w:sz w:val="20"/>
                <w:szCs w:val="20"/>
                <w:lang w:val="uk-UA" w:eastAsia="en-US"/>
              </w:rPr>
            </w:pPr>
            <w:r w:rsidRPr="001248B9">
              <w:rPr>
                <w:color w:val="000000" w:themeColor="text1"/>
                <w:sz w:val="20"/>
                <w:szCs w:val="20"/>
                <w:lang w:val="uk-UA" w:eastAsia="en-US"/>
              </w:rPr>
              <w:t>На групу факторів, пов’язаних із обсягом і якістю медичного обслуговування (забезпеченість об’єктами медичної інфраструктури та фахівцями, своєчасність та якість лікування, вакцинація, періодичність медичних обстежень, державне фінансування медичної сфери тощо) припадає 8-9% впливу.</w:t>
            </w:r>
          </w:p>
          <w:p w:rsidR="006E7065" w:rsidRPr="001248B9" w:rsidRDefault="006E7065" w:rsidP="006E7065">
            <w:pPr>
              <w:pStyle w:val="a4"/>
              <w:spacing w:before="0" w:beforeAutospacing="0" w:after="0" w:afterAutospacing="0"/>
              <w:contextualSpacing/>
              <w:jc w:val="both"/>
              <w:rPr>
                <w:color w:val="000000" w:themeColor="text1"/>
                <w:sz w:val="20"/>
                <w:szCs w:val="20"/>
                <w:highlight w:val="yellow"/>
                <w:lang w:val="uk-UA" w:eastAsia="en-US"/>
              </w:rPr>
            </w:pPr>
            <w:r w:rsidRPr="001248B9">
              <w:rPr>
                <w:color w:val="000000" w:themeColor="text1"/>
                <w:sz w:val="20"/>
                <w:szCs w:val="20"/>
                <w:lang w:val="uk-UA" w:eastAsia="en-US"/>
              </w:rPr>
              <w:t>Серед ризиків впливу на здоров’я населення, які стосуються документа державного планування можна віднести: якість атмосферного повітря та поверхневих і підземних вод на ділянках впливу.</w:t>
            </w:r>
          </w:p>
        </w:tc>
      </w:tr>
      <w:tr w:rsidR="006E7065" w:rsidRPr="003B478A" w:rsidTr="00A40069">
        <w:trPr>
          <w:gridAfter w:val="1"/>
          <w:wAfter w:w="6" w:type="dxa"/>
          <w:trHeight w:val="786"/>
        </w:trPr>
        <w:tc>
          <w:tcPr>
            <w:tcW w:w="616"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jc w:val="center"/>
              <w:rPr>
                <w:sz w:val="20"/>
                <w:szCs w:val="20"/>
                <w:lang w:val="uk-UA" w:eastAsia="en-US"/>
              </w:rPr>
            </w:pPr>
            <w:r>
              <w:rPr>
                <w:sz w:val="20"/>
                <w:szCs w:val="20"/>
                <w:lang w:val="uk-UA" w:eastAsia="en-US"/>
              </w:rPr>
              <w:t>20</w:t>
            </w:r>
          </w:p>
        </w:tc>
        <w:tc>
          <w:tcPr>
            <w:tcW w:w="2662"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after="0"/>
              <w:jc w:val="center"/>
              <w:rPr>
                <w:color w:val="000000" w:themeColor="text1"/>
                <w:sz w:val="20"/>
                <w:szCs w:val="20"/>
              </w:rPr>
            </w:pPr>
            <w:r>
              <w:rPr>
                <w:color w:val="000000" w:themeColor="text1"/>
                <w:sz w:val="20"/>
                <w:szCs w:val="20"/>
              </w:rPr>
              <w:t xml:space="preserve">ДУ «Львівський обласний центр контролю та профілактики хвороб МОЗ України» </w:t>
            </w:r>
          </w:p>
        </w:tc>
        <w:tc>
          <w:tcPr>
            <w:tcW w:w="1389" w:type="dxa"/>
            <w:tcBorders>
              <w:top w:val="single" w:sz="4" w:space="0" w:color="auto"/>
              <w:left w:val="single" w:sz="4" w:space="0" w:color="auto"/>
              <w:bottom w:val="single" w:sz="4" w:space="0" w:color="auto"/>
              <w:right w:val="single" w:sz="4" w:space="0" w:color="auto"/>
            </w:tcBorders>
          </w:tcPr>
          <w:p w:rsidR="006E7065" w:rsidRPr="00D57CBC" w:rsidRDefault="006E7065" w:rsidP="006E7065">
            <w:pPr>
              <w:pStyle w:val="a4"/>
              <w:spacing w:before="0" w:beforeAutospacing="0" w:after="0" w:afterAutospacing="0"/>
              <w:ind w:left="11"/>
              <w:rPr>
                <w:sz w:val="20"/>
                <w:szCs w:val="20"/>
                <w:lang w:val="uk-UA" w:eastAsia="en-US"/>
              </w:rPr>
            </w:pPr>
          </w:p>
        </w:tc>
        <w:tc>
          <w:tcPr>
            <w:tcW w:w="3916" w:type="dxa"/>
            <w:tcBorders>
              <w:top w:val="single" w:sz="4" w:space="0" w:color="auto"/>
              <w:left w:val="single" w:sz="4" w:space="0" w:color="auto"/>
              <w:bottom w:val="single" w:sz="4" w:space="0" w:color="auto"/>
              <w:right w:val="single" w:sz="4" w:space="0" w:color="auto"/>
            </w:tcBorders>
          </w:tcPr>
          <w:p w:rsidR="006E7065" w:rsidRPr="00601D47" w:rsidRDefault="006E7065" w:rsidP="006E7065">
            <w:pPr>
              <w:pStyle w:val="a4"/>
              <w:spacing w:before="0" w:beforeAutospacing="0" w:after="0" w:afterAutospacing="0"/>
              <w:contextualSpacing/>
              <w:jc w:val="both"/>
              <w:rPr>
                <w:color w:val="000000" w:themeColor="text1"/>
                <w:sz w:val="20"/>
                <w:szCs w:val="20"/>
                <w:lang w:val="uk-UA" w:eastAsia="en-US"/>
              </w:rPr>
            </w:pPr>
            <w:r w:rsidRPr="001967FA">
              <w:rPr>
                <w:color w:val="000000" w:themeColor="text1"/>
                <w:sz w:val="20"/>
                <w:szCs w:val="20"/>
                <w:lang w:val="uk-UA" w:eastAsia="en-US"/>
              </w:rPr>
              <w:t>В роз</w:t>
            </w:r>
            <w:r>
              <w:rPr>
                <w:color w:val="000000" w:themeColor="text1"/>
                <w:sz w:val="20"/>
                <w:szCs w:val="20"/>
                <w:lang w:val="uk-UA" w:eastAsia="en-US"/>
              </w:rPr>
              <w:t xml:space="preserve">ділі «Охорона здоров'я» (стор. </w:t>
            </w:r>
            <w:r w:rsidRPr="001967FA">
              <w:rPr>
                <w:color w:val="000000" w:themeColor="text1"/>
                <w:sz w:val="20"/>
                <w:szCs w:val="20"/>
                <w:lang w:val="uk-UA" w:eastAsia="en-US"/>
              </w:rPr>
              <w:t>29) без належного обгрунтування оцінки статистичних даних щодо стану захворюваності та поширеності захворювань серед населення прилеглих населених пунктів зроблено висновок, що протягом останніх років відмічається тенденція до зниження поширення хвороб та кількості захворювань, а також не обґрунтований висновок щодо відсутності впливу на здоров'я запроектованого об'єкту. Так,</w:t>
            </w:r>
            <w:r>
              <w:rPr>
                <w:color w:val="000000" w:themeColor="text1"/>
                <w:sz w:val="20"/>
                <w:szCs w:val="20"/>
                <w:lang w:val="uk-UA" w:eastAsia="en-US"/>
              </w:rPr>
              <w:t xml:space="preserve"> </w:t>
            </w:r>
            <w:r w:rsidRPr="001967FA">
              <w:rPr>
                <w:color w:val="000000" w:themeColor="text1"/>
                <w:sz w:val="20"/>
                <w:szCs w:val="20"/>
                <w:lang w:val="uk-UA" w:eastAsia="en-US"/>
              </w:rPr>
              <w:t>захворюваність по Сокальському рай</w:t>
            </w:r>
            <w:r>
              <w:rPr>
                <w:color w:val="000000" w:themeColor="text1"/>
                <w:sz w:val="20"/>
                <w:szCs w:val="20"/>
                <w:lang w:val="uk-UA" w:eastAsia="en-US"/>
              </w:rPr>
              <w:t>ону надана за 2018 рік в цілому</w:t>
            </w:r>
            <w:r w:rsidRPr="001967FA">
              <w:rPr>
                <w:color w:val="000000" w:themeColor="text1"/>
                <w:sz w:val="20"/>
                <w:szCs w:val="20"/>
                <w:lang w:val="uk-UA" w:eastAsia="en-US"/>
              </w:rPr>
              <w:t>,</w:t>
            </w:r>
            <w:r>
              <w:rPr>
                <w:color w:val="000000" w:themeColor="text1"/>
                <w:sz w:val="20"/>
                <w:szCs w:val="20"/>
                <w:lang w:val="uk-UA" w:eastAsia="en-US"/>
              </w:rPr>
              <w:t xml:space="preserve"> </w:t>
            </w:r>
            <w:r w:rsidRPr="001967FA">
              <w:rPr>
                <w:color w:val="000000" w:themeColor="text1"/>
                <w:sz w:val="20"/>
                <w:szCs w:val="20"/>
                <w:lang w:val="uk-UA" w:eastAsia="en-US"/>
              </w:rPr>
              <w:t>а не по конкретних населених пунктах.</w:t>
            </w:r>
          </w:p>
        </w:tc>
        <w:tc>
          <w:tcPr>
            <w:tcW w:w="2757"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center"/>
              <w:rPr>
                <w:color w:val="000000" w:themeColor="text1"/>
                <w:sz w:val="20"/>
                <w:szCs w:val="20"/>
                <w:lang w:eastAsia="en-US"/>
              </w:rPr>
            </w:pPr>
            <w:r>
              <w:rPr>
                <w:color w:val="000000" w:themeColor="text1"/>
                <w:sz w:val="20"/>
                <w:szCs w:val="20"/>
                <w:lang w:eastAsia="en-US"/>
              </w:rPr>
              <w:t>В</w:t>
            </w:r>
            <w:r w:rsidRPr="002C3D96">
              <w:rPr>
                <w:color w:val="000000" w:themeColor="text1"/>
                <w:sz w:val="20"/>
                <w:szCs w:val="20"/>
                <w:lang w:eastAsia="en-US"/>
              </w:rPr>
              <w:t>раховано</w:t>
            </w:r>
            <w:r>
              <w:rPr>
                <w:color w:val="000000" w:themeColor="text1"/>
                <w:sz w:val="20"/>
                <w:szCs w:val="20"/>
                <w:lang w:eastAsia="en-US"/>
              </w:rPr>
              <w:t xml:space="preserve"> частково</w:t>
            </w:r>
          </w:p>
        </w:tc>
        <w:tc>
          <w:tcPr>
            <w:tcW w:w="4063" w:type="dxa"/>
            <w:tcBorders>
              <w:top w:val="single" w:sz="4" w:space="0" w:color="auto"/>
              <w:left w:val="single" w:sz="4" w:space="0" w:color="auto"/>
              <w:bottom w:val="single" w:sz="4" w:space="0" w:color="auto"/>
              <w:right w:val="single" w:sz="4" w:space="0" w:color="auto"/>
            </w:tcBorders>
          </w:tcPr>
          <w:p w:rsidR="006E7065" w:rsidRPr="002C3D96" w:rsidRDefault="006E7065" w:rsidP="006E7065">
            <w:pPr>
              <w:pStyle w:val="a4"/>
              <w:spacing w:before="0" w:beforeAutospacing="0" w:after="0" w:afterAutospacing="0"/>
              <w:contextualSpacing/>
              <w:jc w:val="both"/>
              <w:rPr>
                <w:color w:val="000000" w:themeColor="text1"/>
                <w:sz w:val="20"/>
                <w:szCs w:val="20"/>
                <w:lang w:eastAsia="en-US"/>
              </w:rPr>
            </w:pPr>
            <w:r>
              <w:rPr>
                <w:color w:val="000000" w:themeColor="text1"/>
                <w:sz w:val="20"/>
                <w:szCs w:val="20"/>
                <w:lang w:eastAsia="en-US"/>
              </w:rPr>
              <w:t>Зважаючи на фактичну відсутність статистичних даних, що стосуються здоров'я населення в розрізі окремих населених пунктів та територіальних громад, було використано інформацію в розрізі колишнього АТУ Львівської області, а саме колишнього Сокальського району. Статистична інформація у розрізі окреми населених пунктів (зокрема с. Сілець, Волсвин тощо) відсутня.</w:t>
            </w:r>
          </w:p>
        </w:tc>
      </w:tr>
    </w:tbl>
    <w:p w:rsidR="00C00DAF" w:rsidRDefault="00C00DAF" w:rsidP="00C00DAF">
      <w:pPr>
        <w:pStyle w:val="a4"/>
        <w:spacing w:before="0" w:beforeAutospacing="0" w:after="0" w:afterAutospacing="0"/>
        <w:ind w:firstLine="709"/>
        <w:jc w:val="both"/>
        <w:rPr>
          <w:sz w:val="20"/>
          <w:szCs w:val="20"/>
        </w:rPr>
      </w:pPr>
    </w:p>
    <w:p w:rsidR="0093632C" w:rsidRPr="00A13153" w:rsidRDefault="0093632C" w:rsidP="00601D47">
      <w:pPr>
        <w:pStyle w:val="a4"/>
        <w:spacing w:after="0"/>
        <w:ind w:firstLine="709"/>
        <w:jc w:val="both"/>
        <w:rPr>
          <w:sz w:val="28"/>
          <w:szCs w:val="28"/>
        </w:rPr>
      </w:pPr>
      <w:bookmarkStart w:id="0" w:name="_GoBack"/>
      <w:bookmarkEnd w:id="0"/>
    </w:p>
    <w:sectPr w:rsidR="0093632C" w:rsidRPr="00A13153" w:rsidSect="00441FDC">
      <w:pgSz w:w="16838" w:h="11906" w:orient="landscape"/>
      <w:pgMar w:top="709" w:right="850" w:bottom="56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1190CDE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66EF438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AF51F6"/>
    <w:multiLevelType w:val="hybridMultilevel"/>
    <w:tmpl w:val="1190CDE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C1E52E9"/>
    <w:multiLevelType w:val="hybridMultilevel"/>
    <w:tmpl w:val="DF00C81A"/>
    <w:lvl w:ilvl="0" w:tplc="2B1670E8">
      <w:start w:val="1"/>
      <w:numFmt w:val="decimal"/>
      <w:lvlText w:val="%1."/>
      <w:lvlJc w:val="left"/>
      <w:pPr>
        <w:ind w:left="135" w:hanging="703"/>
      </w:pPr>
      <w:rPr>
        <w:rFonts w:ascii="Times New Roman" w:eastAsia="Times New Roman" w:hAnsi="Times New Roman" w:cs="Times New Roman" w:hint="default"/>
        <w:b w:val="0"/>
        <w:bCs w:val="0"/>
        <w:i w:val="0"/>
        <w:iCs w:val="0"/>
        <w:w w:val="97"/>
        <w:sz w:val="20"/>
        <w:szCs w:val="20"/>
        <w:lang w:val="uk-UA" w:eastAsia="en-US" w:bidi="ar-SA"/>
      </w:rPr>
    </w:lvl>
    <w:lvl w:ilvl="1" w:tplc="80629254">
      <w:numFmt w:val="bullet"/>
      <w:lvlText w:val="•"/>
      <w:lvlJc w:val="left"/>
      <w:pPr>
        <w:ind w:left="1138" w:hanging="703"/>
      </w:pPr>
      <w:rPr>
        <w:rFonts w:hint="default"/>
        <w:lang w:val="uk-UA" w:eastAsia="en-US" w:bidi="ar-SA"/>
      </w:rPr>
    </w:lvl>
    <w:lvl w:ilvl="2" w:tplc="4A807FCE">
      <w:numFmt w:val="bullet"/>
      <w:lvlText w:val="•"/>
      <w:lvlJc w:val="left"/>
      <w:pPr>
        <w:ind w:left="2136" w:hanging="703"/>
      </w:pPr>
      <w:rPr>
        <w:rFonts w:hint="default"/>
        <w:lang w:val="uk-UA" w:eastAsia="en-US" w:bidi="ar-SA"/>
      </w:rPr>
    </w:lvl>
    <w:lvl w:ilvl="3" w:tplc="A260B49E">
      <w:numFmt w:val="bullet"/>
      <w:lvlText w:val="•"/>
      <w:lvlJc w:val="left"/>
      <w:pPr>
        <w:ind w:left="3134" w:hanging="703"/>
      </w:pPr>
      <w:rPr>
        <w:rFonts w:hint="default"/>
        <w:lang w:val="uk-UA" w:eastAsia="en-US" w:bidi="ar-SA"/>
      </w:rPr>
    </w:lvl>
    <w:lvl w:ilvl="4" w:tplc="C812DFE0">
      <w:numFmt w:val="bullet"/>
      <w:lvlText w:val="•"/>
      <w:lvlJc w:val="left"/>
      <w:pPr>
        <w:ind w:left="4132" w:hanging="703"/>
      </w:pPr>
      <w:rPr>
        <w:rFonts w:hint="default"/>
        <w:lang w:val="uk-UA" w:eastAsia="en-US" w:bidi="ar-SA"/>
      </w:rPr>
    </w:lvl>
    <w:lvl w:ilvl="5" w:tplc="33FE1F70">
      <w:numFmt w:val="bullet"/>
      <w:lvlText w:val="•"/>
      <w:lvlJc w:val="left"/>
      <w:pPr>
        <w:ind w:left="5130" w:hanging="703"/>
      </w:pPr>
      <w:rPr>
        <w:rFonts w:hint="default"/>
        <w:lang w:val="uk-UA" w:eastAsia="en-US" w:bidi="ar-SA"/>
      </w:rPr>
    </w:lvl>
    <w:lvl w:ilvl="6" w:tplc="662E4A86">
      <w:numFmt w:val="bullet"/>
      <w:lvlText w:val="•"/>
      <w:lvlJc w:val="left"/>
      <w:pPr>
        <w:ind w:left="6128" w:hanging="703"/>
      </w:pPr>
      <w:rPr>
        <w:rFonts w:hint="default"/>
        <w:lang w:val="uk-UA" w:eastAsia="en-US" w:bidi="ar-SA"/>
      </w:rPr>
    </w:lvl>
    <w:lvl w:ilvl="7" w:tplc="43488BF2">
      <w:numFmt w:val="bullet"/>
      <w:lvlText w:val="•"/>
      <w:lvlJc w:val="left"/>
      <w:pPr>
        <w:ind w:left="7126" w:hanging="703"/>
      </w:pPr>
      <w:rPr>
        <w:rFonts w:hint="default"/>
        <w:lang w:val="uk-UA" w:eastAsia="en-US" w:bidi="ar-SA"/>
      </w:rPr>
    </w:lvl>
    <w:lvl w:ilvl="8" w:tplc="672ED43A">
      <w:numFmt w:val="bullet"/>
      <w:lvlText w:val="•"/>
      <w:lvlJc w:val="left"/>
      <w:pPr>
        <w:ind w:left="8124" w:hanging="703"/>
      </w:pPr>
      <w:rPr>
        <w:rFonts w:hint="default"/>
        <w:lang w:val="uk-UA" w:eastAsia="en-US" w:bidi="ar-SA"/>
      </w:rPr>
    </w:lvl>
  </w:abstractNum>
  <w:abstractNum w:abstractNumId="5">
    <w:nsid w:val="49C13F21"/>
    <w:multiLevelType w:val="hybridMultilevel"/>
    <w:tmpl w:val="1190CDE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52A9566E"/>
    <w:multiLevelType w:val="multilevel"/>
    <w:tmpl w:val="14125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5D6625"/>
    <w:multiLevelType w:val="hybridMultilevel"/>
    <w:tmpl w:val="FC26C1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A5256D9"/>
    <w:multiLevelType w:val="hybridMultilevel"/>
    <w:tmpl w:val="9D9E34C0"/>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6973287B"/>
    <w:multiLevelType w:val="hybridMultilevel"/>
    <w:tmpl w:val="62606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38A4C4F"/>
    <w:multiLevelType w:val="hybridMultilevel"/>
    <w:tmpl w:val="270C51D8"/>
    <w:lvl w:ilvl="0" w:tplc="3D02EA8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7E6133C4"/>
    <w:multiLevelType w:val="hybridMultilevel"/>
    <w:tmpl w:val="7BD05AD2"/>
    <w:lvl w:ilvl="0" w:tplc="9E302004">
      <w:start w:val="1"/>
      <w:numFmt w:val="decimal"/>
      <w:lvlText w:val="%1."/>
      <w:lvlJc w:val="left"/>
      <w:pPr>
        <w:ind w:left="3905" w:hanging="360"/>
      </w:pPr>
      <w:rPr>
        <w:rFonts w:hint="default"/>
        <w:b/>
        <w:i w:val="0"/>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 w:numId="8">
    <w:abstractNumId w:val="7"/>
  </w:num>
  <w:num w:numId="9">
    <w:abstractNumId w:val="5"/>
  </w:num>
  <w:num w:numId="10">
    <w:abstractNumId w:val="2"/>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AA"/>
    <w:rsid w:val="0000491F"/>
    <w:rsid w:val="00015FAD"/>
    <w:rsid w:val="000215D3"/>
    <w:rsid w:val="000360C4"/>
    <w:rsid w:val="00040984"/>
    <w:rsid w:val="00044E29"/>
    <w:rsid w:val="00051FA0"/>
    <w:rsid w:val="00055EDD"/>
    <w:rsid w:val="000630E7"/>
    <w:rsid w:val="00072547"/>
    <w:rsid w:val="000904CC"/>
    <w:rsid w:val="00090BA5"/>
    <w:rsid w:val="000951BE"/>
    <w:rsid w:val="000977AF"/>
    <w:rsid w:val="000A1783"/>
    <w:rsid w:val="000A3303"/>
    <w:rsid w:val="000B17A0"/>
    <w:rsid w:val="000B2BCF"/>
    <w:rsid w:val="000B7B79"/>
    <w:rsid w:val="000C1694"/>
    <w:rsid w:val="000E133D"/>
    <w:rsid w:val="000E67C1"/>
    <w:rsid w:val="000E7F81"/>
    <w:rsid w:val="000F4723"/>
    <w:rsid w:val="00100D03"/>
    <w:rsid w:val="001037CD"/>
    <w:rsid w:val="00115DC2"/>
    <w:rsid w:val="00116C9C"/>
    <w:rsid w:val="001248B9"/>
    <w:rsid w:val="00130BAB"/>
    <w:rsid w:val="00134B61"/>
    <w:rsid w:val="00142E4E"/>
    <w:rsid w:val="001430BE"/>
    <w:rsid w:val="00143D9E"/>
    <w:rsid w:val="00166471"/>
    <w:rsid w:val="00170DE0"/>
    <w:rsid w:val="001747CE"/>
    <w:rsid w:val="001826DD"/>
    <w:rsid w:val="00182972"/>
    <w:rsid w:val="00186D65"/>
    <w:rsid w:val="001967FA"/>
    <w:rsid w:val="001A61AC"/>
    <w:rsid w:val="001C6F3D"/>
    <w:rsid w:val="001D2590"/>
    <w:rsid w:val="001D4864"/>
    <w:rsid w:val="001E1623"/>
    <w:rsid w:val="002014F0"/>
    <w:rsid w:val="00201542"/>
    <w:rsid w:val="00203FF0"/>
    <w:rsid w:val="00227F91"/>
    <w:rsid w:val="00233A8F"/>
    <w:rsid w:val="00234779"/>
    <w:rsid w:val="0023496A"/>
    <w:rsid w:val="002437F9"/>
    <w:rsid w:val="00250FB4"/>
    <w:rsid w:val="002563FD"/>
    <w:rsid w:val="00256624"/>
    <w:rsid w:val="002702E2"/>
    <w:rsid w:val="002770CC"/>
    <w:rsid w:val="00287231"/>
    <w:rsid w:val="0029021A"/>
    <w:rsid w:val="00291716"/>
    <w:rsid w:val="002B5870"/>
    <w:rsid w:val="002C7136"/>
    <w:rsid w:val="002D0D52"/>
    <w:rsid w:val="002D2770"/>
    <w:rsid w:val="002E1483"/>
    <w:rsid w:val="002F4EEA"/>
    <w:rsid w:val="002F74A8"/>
    <w:rsid w:val="003239DC"/>
    <w:rsid w:val="00323AE1"/>
    <w:rsid w:val="00325C6C"/>
    <w:rsid w:val="00337E03"/>
    <w:rsid w:val="00352084"/>
    <w:rsid w:val="003549E9"/>
    <w:rsid w:val="00354F48"/>
    <w:rsid w:val="003615A8"/>
    <w:rsid w:val="00362972"/>
    <w:rsid w:val="00362975"/>
    <w:rsid w:val="003827CE"/>
    <w:rsid w:val="0038476C"/>
    <w:rsid w:val="00385AE3"/>
    <w:rsid w:val="003870E4"/>
    <w:rsid w:val="00390009"/>
    <w:rsid w:val="003B478A"/>
    <w:rsid w:val="003B50B5"/>
    <w:rsid w:val="003C0059"/>
    <w:rsid w:val="003C62A1"/>
    <w:rsid w:val="003D1B98"/>
    <w:rsid w:val="003D2DC8"/>
    <w:rsid w:val="003D37AA"/>
    <w:rsid w:val="003E5982"/>
    <w:rsid w:val="003F042C"/>
    <w:rsid w:val="003F488E"/>
    <w:rsid w:val="003F5328"/>
    <w:rsid w:val="003F7603"/>
    <w:rsid w:val="003F7A4C"/>
    <w:rsid w:val="00426E75"/>
    <w:rsid w:val="0042754A"/>
    <w:rsid w:val="004337FA"/>
    <w:rsid w:val="00441FDC"/>
    <w:rsid w:val="00442CE6"/>
    <w:rsid w:val="00442EE6"/>
    <w:rsid w:val="0044572E"/>
    <w:rsid w:val="00456CBB"/>
    <w:rsid w:val="00462F7A"/>
    <w:rsid w:val="0047167D"/>
    <w:rsid w:val="004A7F41"/>
    <w:rsid w:val="004B1532"/>
    <w:rsid w:val="004B213F"/>
    <w:rsid w:val="004B594F"/>
    <w:rsid w:val="004C5A62"/>
    <w:rsid w:val="004F03A7"/>
    <w:rsid w:val="004F07C1"/>
    <w:rsid w:val="004F44FA"/>
    <w:rsid w:val="005006CB"/>
    <w:rsid w:val="00504446"/>
    <w:rsid w:val="005076A4"/>
    <w:rsid w:val="0051115C"/>
    <w:rsid w:val="005125A2"/>
    <w:rsid w:val="00513BFB"/>
    <w:rsid w:val="00525250"/>
    <w:rsid w:val="00530A22"/>
    <w:rsid w:val="005323B4"/>
    <w:rsid w:val="005453B9"/>
    <w:rsid w:val="00565EEA"/>
    <w:rsid w:val="005953C0"/>
    <w:rsid w:val="005B72B8"/>
    <w:rsid w:val="005D0E44"/>
    <w:rsid w:val="005D3ECA"/>
    <w:rsid w:val="005D4228"/>
    <w:rsid w:val="005D6305"/>
    <w:rsid w:val="005E0029"/>
    <w:rsid w:val="00601D47"/>
    <w:rsid w:val="00606C37"/>
    <w:rsid w:val="006244FE"/>
    <w:rsid w:val="0063784E"/>
    <w:rsid w:val="0064119B"/>
    <w:rsid w:val="00644648"/>
    <w:rsid w:val="006661AA"/>
    <w:rsid w:val="00667F81"/>
    <w:rsid w:val="00671A7F"/>
    <w:rsid w:val="006A006F"/>
    <w:rsid w:val="006B0AC1"/>
    <w:rsid w:val="006C5D70"/>
    <w:rsid w:val="006C6D7E"/>
    <w:rsid w:val="006D05FE"/>
    <w:rsid w:val="006D6278"/>
    <w:rsid w:val="006E7065"/>
    <w:rsid w:val="006F47BE"/>
    <w:rsid w:val="006F70CD"/>
    <w:rsid w:val="0071056C"/>
    <w:rsid w:val="00711284"/>
    <w:rsid w:val="00732E96"/>
    <w:rsid w:val="00735D69"/>
    <w:rsid w:val="00740656"/>
    <w:rsid w:val="00750B35"/>
    <w:rsid w:val="00753F99"/>
    <w:rsid w:val="00760AA5"/>
    <w:rsid w:val="00790643"/>
    <w:rsid w:val="007921E7"/>
    <w:rsid w:val="0079291C"/>
    <w:rsid w:val="0079405D"/>
    <w:rsid w:val="00794D72"/>
    <w:rsid w:val="0079798D"/>
    <w:rsid w:val="007A0495"/>
    <w:rsid w:val="007A07ED"/>
    <w:rsid w:val="007A7629"/>
    <w:rsid w:val="007B5250"/>
    <w:rsid w:val="007C2133"/>
    <w:rsid w:val="007E505F"/>
    <w:rsid w:val="007E6EBC"/>
    <w:rsid w:val="00800B3D"/>
    <w:rsid w:val="00805066"/>
    <w:rsid w:val="00813D18"/>
    <w:rsid w:val="008249DE"/>
    <w:rsid w:val="0083234D"/>
    <w:rsid w:val="0084179C"/>
    <w:rsid w:val="00846D1D"/>
    <w:rsid w:val="0085134F"/>
    <w:rsid w:val="00885D52"/>
    <w:rsid w:val="00886695"/>
    <w:rsid w:val="00890880"/>
    <w:rsid w:val="00892BEF"/>
    <w:rsid w:val="00895878"/>
    <w:rsid w:val="00896A29"/>
    <w:rsid w:val="008A7273"/>
    <w:rsid w:val="008D1747"/>
    <w:rsid w:val="008E4508"/>
    <w:rsid w:val="008E607C"/>
    <w:rsid w:val="008F2C06"/>
    <w:rsid w:val="00913581"/>
    <w:rsid w:val="0092712A"/>
    <w:rsid w:val="00933404"/>
    <w:rsid w:val="009355DB"/>
    <w:rsid w:val="0093632C"/>
    <w:rsid w:val="00942402"/>
    <w:rsid w:val="00950916"/>
    <w:rsid w:val="00953593"/>
    <w:rsid w:val="009626ED"/>
    <w:rsid w:val="0096711F"/>
    <w:rsid w:val="00971DB2"/>
    <w:rsid w:val="00976022"/>
    <w:rsid w:val="00984F08"/>
    <w:rsid w:val="00993144"/>
    <w:rsid w:val="00995818"/>
    <w:rsid w:val="00997975"/>
    <w:rsid w:val="009A424D"/>
    <w:rsid w:val="009B4EF9"/>
    <w:rsid w:val="009B7DD0"/>
    <w:rsid w:val="009C497F"/>
    <w:rsid w:val="009D583A"/>
    <w:rsid w:val="009E0D69"/>
    <w:rsid w:val="00A12BA3"/>
    <w:rsid w:val="00A13153"/>
    <w:rsid w:val="00A13F43"/>
    <w:rsid w:val="00A15B07"/>
    <w:rsid w:val="00A15E5C"/>
    <w:rsid w:val="00A2739A"/>
    <w:rsid w:val="00A3090F"/>
    <w:rsid w:val="00A40069"/>
    <w:rsid w:val="00A41127"/>
    <w:rsid w:val="00A42301"/>
    <w:rsid w:val="00A44B09"/>
    <w:rsid w:val="00A52D31"/>
    <w:rsid w:val="00A64C96"/>
    <w:rsid w:val="00A66888"/>
    <w:rsid w:val="00A7619D"/>
    <w:rsid w:val="00A84A8C"/>
    <w:rsid w:val="00AC5500"/>
    <w:rsid w:val="00AE03C9"/>
    <w:rsid w:val="00AF5281"/>
    <w:rsid w:val="00B06EFD"/>
    <w:rsid w:val="00B22CFA"/>
    <w:rsid w:val="00B231CD"/>
    <w:rsid w:val="00B2763E"/>
    <w:rsid w:val="00B34B5D"/>
    <w:rsid w:val="00B46A83"/>
    <w:rsid w:val="00B50829"/>
    <w:rsid w:val="00B524F8"/>
    <w:rsid w:val="00B56288"/>
    <w:rsid w:val="00B77DAB"/>
    <w:rsid w:val="00B84983"/>
    <w:rsid w:val="00B925F1"/>
    <w:rsid w:val="00B94018"/>
    <w:rsid w:val="00BC5B99"/>
    <w:rsid w:val="00BC66E4"/>
    <w:rsid w:val="00BD0702"/>
    <w:rsid w:val="00BD79CD"/>
    <w:rsid w:val="00BE1D3C"/>
    <w:rsid w:val="00BF4EB8"/>
    <w:rsid w:val="00C00DAF"/>
    <w:rsid w:val="00C03C4A"/>
    <w:rsid w:val="00C24161"/>
    <w:rsid w:val="00C97B1A"/>
    <w:rsid w:val="00CA2351"/>
    <w:rsid w:val="00CC410A"/>
    <w:rsid w:val="00CC4637"/>
    <w:rsid w:val="00CD0401"/>
    <w:rsid w:val="00CD5A15"/>
    <w:rsid w:val="00CE3BD7"/>
    <w:rsid w:val="00CE7CC5"/>
    <w:rsid w:val="00CF1C7C"/>
    <w:rsid w:val="00CF47F1"/>
    <w:rsid w:val="00D167C7"/>
    <w:rsid w:val="00D432A4"/>
    <w:rsid w:val="00D57CBC"/>
    <w:rsid w:val="00D668A1"/>
    <w:rsid w:val="00D80E0B"/>
    <w:rsid w:val="00D8217E"/>
    <w:rsid w:val="00D93899"/>
    <w:rsid w:val="00DA1012"/>
    <w:rsid w:val="00DA274C"/>
    <w:rsid w:val="00DA6862"/>
    <w:rsid w:val="00DC45D9"/>
    <w:rsid w:val="00DE438D"/>
    <w:rsid w:val="00DE5EB6"/>
    <w:rsid w:val="00DF0CD6"/>
    <w:rsid w:val="00E0375B"/>
    <w:rsid w:val="00E043F3"/>
    <w:rsid w:val="00E17CA0"/>
    <w:rsid w:val="00E22602"/>
    <w:rsid w:val="00E50739"/>
    <w:rsid w:val="00E55185"/>
    <w:rsid w:val="00E61A04"/>
    <w:rsid w:val="00E63739"/>
    <w:rsid w:val="00E7603B"/>
    <w:rsid w:val="00E764E2"/>
    <w:rsid w:val="00E80CFD"/>
    <w:rsid w:val="00EA1632"/>
    <w:rsid w:val="00EA3516"/>
    <w:rsid w:val="00EE27B0"/>
    <w:rsid w:val="00EE47A3"/>
    <w:rsid w:val="00EF0639"/>
    <w:rsid w:val="00F000B6"/>
    <w:rsid w:val="00F0608C"/>
    <w:rsid w:val="00F12502"/>
    <w:rsid w:val="00F21AFD"/>
    <w:rsid w:val="00F40E95"/>
    <w:rsid w:val="00F43CEB"/>
    <w:rsid w:val="00F513C0"/>
    <w:rsid w:val="00F515CF"/>
    <w:rsid w:val="00F55DAA"/>
    <w:rsid w:val="00F5744C"/>
    <w:rsid w:val="00F57C14"/>
    <w:rsid w:val="00F677A9"/>
    <w:rsid w:val="00F806A5"/>
    <w:rsid w:val="00F852B7"/>
    <w:rsid w:val="00FA52E1"/>
    <w:rsid w:val="00FB73CB"/>
    <w:rsid w:val="00FC3FFA"/>
    <w:rsid w:val="00FD0334"/>
    <w:rsid w:val="00FD4DDD"/>
    <w:rsid w:val="00FE71AA"/>
    <w:rsid w:val="00FF5D83"/>
    <w:rsid w:val="00FF7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95016-8328-4314-B17C-C8CEC04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6661AA"/>
    <w:rPr>
      <w:rFonts w:ascii="Times New Roman" w:eastAsia="Times New Roman" w:hAnsi="Times New Roman" w:cs="Times New Roman"/>
      <w:color w:val="171317"/>
      <w:sz w:val="26"/>
      <w:szCs w:val="26"/>
      <w:shd w:val="clear" w:color="auto" w:fill="FFFFFF"/>
    </w:rPr>
  </w:style>
  <w:style w:type="character" w:customStyle="1" w:styleId="2">
    <w:name w:val="Основний текст (2)_"/>
    <w:basedOn w:val="a0"/>
    <w:link w:val="20"/>
    <w:rsid w:val="006661AA"/>
    <w:rPr>
      <w:rFonts w:ascii="Times New Roman" w:eastAsia="Times New Roman" w:hAnsi="Times New Roman" w:cs="Times New Roman"/>
      <w:sz w:val="32"/>
      <w:szCs w:val="32"/>
      <w:shd w:val="clear" w:color="auto" w:fill="FFFFFF"/>
    </w:rPr>
  </w:style>
  <w:style w:type="paragraph" w:customStyle="1" w:styleId="1">
    <w:name w:val="Основний текст1"/>
    <w:basedOn w:val="a"/>
    <w:link w:val="a3"/>
    <w:rsid w:val="006661AA"/>
    <w:pPr>
      <w:widowControl w:val="0"/>
      <w:shd w:val="clear" w:color="auto" w:fill="FFFFFF"/>
      <w:spacing w:after="0" w:line="293" w:lineRule="auto"/>
      <w:ind w:firstLine="400"/>
    </w:pPr>
    <w:rPr>
      <w:rFonts w:ascii="Times New Roman" w:eastAsia="Times New Roman" w:hAnsi="Times New Roman" w:cs="Times New Roman"/>
      <w:color w:val="171317"/>
      <w:sz w:val="26"/>
      <w:szCs w:val="26"/>
    </w:rPr>
  </w:style>
  <w:style w:type="paragraph" w:customStyle="1" w:styleId="20">
    <w:name w:val="Основний текст (2)"/>
    <w:basedOn w:val="a"/>
    <w:link w:val="2"/>
    <w:rsid w:val="006661AA"/>
    <w:pPr>
      <w:widowControl w:val="0"/>
      <w:shd w:val="clear" w:color="auto" w:fill="FFFFFF"/>
      <w:spacing w:after="0" w:line="300" w:lineRule="auto"/>
      <w:ind w:firstLine="740"/>
    </w:pPr>
    <w:rPr>
      <w:rFonts w:ascii="Times New Roman" w:eastAsia="Times New Roman" w:hAnsi="Times New Roman" w:cs="Times New Roman"/>
      <w:sz w:val="32"/>
      <w:szCs w:val="32"/>
    </w:rPr>
  </w:style>
  <w:style w:type="paragraph" w:styleId="a4">
    <w:name w:val="Normal (Web)"/>
    <w:basedOn w:val="a"/>
    <w:uiPriority w:val="99"/>
    <w:unhideWhenUsed/>
    <w:rsid w:val="00441FD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59"/>
    <w:rsid w:val="00441FD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A64C96"/>
    <w:pPr>
      <w:spacing w:line="256" w:lineRule="auto"/>
      <w:ind w:left="720"/>
      <w:contextualSpacing/>
    </w:pPr>
  </w:style>
  <w:style w:type="character" w:customStyle="1" w:styleId="Bodytext">
    <w:name w:val="Body text_"/>
    <w:link w:val="Bodytext1"/>
    <w:locked/>
    <w:rsid w:val="00F0608C"/>
    <w:rPr>
      <w:rFonts w:ascii="Verdana" w:hAnsi="Verdana"/>
      <w:sz w:val="19"/>
      <w:szCs w:val="19"/>
      <w:shd w:val="clear" w:color="auto" w:fill="FFFFFF"/>
    </w:rPr>
  </w:style>
  <w:style w:type="paragraph" w:customStyle="1" w:styleId="Bodytext1">
    <w:name w:val="Body text1"/>
    <w:basedOn w:val="a"/>
    <w:link w:val="Bodytext"/>
    <w:rsid w:val="00F0608C"/>
    <w:pPr>
      <w:shd w:val="clear" w:color="auto" w:fill="FFFFFF"/>
      <w:spacing w:after="300" w:line="240" w:lineRule="atLeast"/>
      <w:ind w:hanging="480"/>
    </w:pPr>
    <w:rPr>
      <w:rFonts w:ascii="Verdana" w:hAnsi="Verdana"/>
      <w:sz w:val="19"/>
      <w:szCs w:val="19"/>
    </w:rPr>
  </w:style>
  <w:style w:type="paragraph" w:styleId="a7">
    <w:name w:val="Balloon Text"/>
    <w:basedOn w:val="a"/>
    <w:link w:val="a8"/>
    <w:uiPriority w:val="99"/>
    <w:semiHidden/>
    <w:unhideWhenUsed/>
    <w:rsid w:val="00CF1C7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F1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5273">
      <w:bodyDiv w:val="1"/>
      <w:marLeft w:val="0"/>
      <w:marRight w:val="0"/>
      <w:marTop w:val="0"/>
      <w:marBottom w:val="0"/>
      <w:divBdr>
        <w:top w:val="none" w:sz="0" w:space="0" w:color="auto"/>
        <w:left w:val="none" w:sz="0" w:space="0" w:color="auto"/>
        <w:bottom w:val="none" w:sz="0" w:space="0" w:color="auto"/>
        <w:right w:val="none" w:sz="0" w:space="0" w:color="auto"/>
      </w:divBdr>
    </w:div>
    <w:div w:id="309405676">
      <w:bodyDiv w:val="1"/>
      <w:marLeft w:val="0"/>
      <w:marRight w:val="0"/>
      <w:marTop w:val="0"/>
      <w:marBottom w:val="0"/>
      <w:divBdr>
        <w:top w:val="none" w:sz="0" w:space="0" w:color="auto"/>
        <w:left w:val="none" w:sz="0" w:space="0" w:color="auto"/>
        <w:bottom w:val="none" w:sz="0" w:space="0" w:color="auto"/>
        <w:right w:val="none" w:sz="0" w:space="0" w:color="auto"/>
      </w:divBdr>
    </w:div>
    <w:div w:id="707225082">
      <w:bodyDiv w:val="1"/>
      <w:marLeft w:val="0"/>
      <w:marRight w:val="0"/>
      <w:marTop w:val="0"/>
      <w:marBottom w:val="0"/>
      <w:divBdr>
        <w:top w:val="none" w:sz="0" w:space="0" w:color="auto"/>
        <w:left w:val="none" w:sz="0" w:space="0" w:color="auto"/>
        <w:bottom w:val="none" w:sz="0" w:space="0" w:color="auto"/>
        <w:right w:val="none" w:sz="0" w:space="0" w:color="auto"/>
      </w:divBdr>
    </w:div>
    <w:div w:id="856432225">
      <w:bodyDiv w:val="1"/>
      <w:marLeft w:val="0"/>
      <w:marRight w:val="0"/>
      <w:marTop w:val="0"/>
      <w:marBottom w:val="0"/>
      <w:divBdr>
        <w:top w:val="none" w:sz="0" w:space="0" w:color="auto"/>
        <w:left w:val="none" w:sz="0" w:space="0" w:color="auto"/>
        <w:bottom w:val="none" w:sz="0" w:space="0" w:color="auto"/>
        <w:right w:val="none" w:sz="0" w:space="0" w:color="auto"/>
      </w:divBdr>
    </w:div>
    <w:div w:id="1011568218">
      <w:bodyDiv w:val="1"/>
      <w:marLeft w:val="0"/>
      <w:marRight w:val="0"/>
      <w:marTop w:val="0"/>
      <w:marBottom w:val="0"/>
      <w:divBdr>
        <w:top w:val="none" w:sz="0" w:space="0" w:color="auto"/>
        <w:left w:val="none" w:sz="0" w:space="0" w:color="auto"/>
        <w:bottom w:val="none" w:sz="0" w:space="0" w:color="auto"/>
        <w:right w:val="none" w:sz="0" w:space="0" w:color="auto"/>
      </w:divBdr>
    </w:div>
    <w:div w:id="1036084238">
      <w:bodyDiv w:val="1"/>
      <w:marLeft w:val="0"/>
      <w:marRight w:val="0"/>
      <w:marTop w:val="0"/>
      <w:marBottom w:val="0"/>
      <w:divBdr>
        <w:top w:val="none" w:sz="0" w:space="0" w:color="auto"/>
        <w:left w:val="none" w:sz="0" w:space="0" w:color="auto"/>
        <w:bottom w:val="none" w:sz="0" w:space="0" w:color="auto"/>
        <w:right w:val="none" w:sz="0" w:space="0" w:color="auto"/>
      </w:divBdr>
    </w:div>
    <w:div w:id="1054350770">
      <w:bodyDiv w:val="1"/>
      <w:marLeft w:val="0"/>
      <w:marRight w:val="0"/>
      <w:marTop w:val="0"/>
      <w:marBottom w:val="0"/>
      <w:divBdr>
        <w:top w:val="none" w:sz="0" w:space="0" w:color="auto"/>
        <w:left w:val="none" w:sz="0" w:space="0" w:color="auto"/>
        <w:bottom w:val="none" w:sz="0" w:space="0" w:color="auto"/>
        <w:right w:val="none" w:sz="0" w:space="0" w:color="auto"/>
      </w:divBdr>
    </w:div>
    <w:div w:id="1132670622">
      <w:bodyDiv w:val="1"/>
      <w:marLeft w:val="0"/>
      <w:marRight w:val="0"/>
      <w:marTop w:val="0"/>
      <w:marBottom w:val="0"/>
      <w:divBdr>
        <w:top w:val="none" w:sz="0" w:space="0" w:color="auto"/>
        <w:left w:val="none" w:sz="0" w:space="0" w:color="auto"/>
        <w:bottom w:val="none" w:sz="0" w:space="0" w:color="auto"/>
        <w:right w:val="none" w:sz="0" w:space="0" w:color="auto"/>
      </w:divBdr>
    </w:div>
    <w:div w:id="1304695808">
      <w:bodyDiv w:val="1"/>
      <w:marLeft w:val="0"/>
      <w:marRight w:val="0"/>
      <w:marTop w:val="0"/>
      <w:marBottom w:val="0"/>
      <w:divBdr>
        <w:top w:val="none" w:sz="0" w:space="0" w:color="auto"/>
        <w:left w:val="none" w:sz="0" w:space="0" w:color="auto"/>
        <w:bottom w:val="none" w:sz="0" w:space="0" w:color="auto"/>
        <w:right w:val="none" w:sz="0" w:space="0" w:color="auto"/>
      </w:divBdr>
    </w:div>
    <w:div w:id="1348369172">
      <w:bodyDiv w:val="1"/>
      <w:marLeft w:val="0"/>
      <w:marRight w:val="0"/>
      <w:marTop w:val="0"/>
      <w:marBottom w:val="0"/>
      <w:divBdr>
        <w:top w:val="none" w:sz="0" w:space="0" w:color="auto"/>
        <w:left w:val="none" w:sz="0" w:space="0" w:color="auto"/>
        <w:bottom w:val="none" w:sz="0" w:space="0" w:color="auto"/>
        <w:right w:val="none" w:sz="0" w:space="0" w:color="auto"/>
      </w:divBdr>
    </w:div>
    <w:div w:id="1428193078">
      <w:bodyDiv w:val="1"/>
      <w:marLeft w:val="0"/>
      <w:marRight w:val="0"/>
      <w:marTop w:val="0"/>
      <w:marBottom w:val="0"/>
      <w:divBdr>
        <w:top w:val="none" w:sz="0" w:space="0" w:color="auto"/>
        <w:left w:val="none" w:sz="0" w:space="0" w:color="auto"/>
        <w:bottom w:val="none" w:sz="0" w:space="0" w:color="auto"/>
        <w:right w:val="none" w:sz="0" w:space="0" w:color="auto"/>
      </w:divBdr>
    </w:div>
    <w:div w:id="1492403568">
      <w:bodyDiv w:val="1"/>
      <w:marLeft w:val="0"/>
      <w:marRight w:val="0"/>
      <w:marTop w:val="0"/>
      <w:marBottom w:val="0"/>
      <w:divBdr>
        <w:top w:val="none" w:sz="0" w:space="0" w:color="auto"/>
        <w:left w:val="none" w:sz="0" w:space="0" w:color="auto"/>
        <w:bottom w:val="none" w:sz="0" w:space="0" w:color="auto"/>
        <w:right w:val="none" w:sz="0" w:space="0" w:color="auto"/>
      </w:divBdr>
    </w:div>
    <w:div w:id="1607080676">
      <w:bodyDiv w:val="1"/>
      <w:marLeft w:val="0"/>
      <w:marRight w:val="0"/>
      <w:marTop w:val="0"/>
      <w:marBottom w:val="0"/>
      <w:divBdr>
        <w:top w:val="none" w:sz="0" w:space="0" w:color="auto"/>
        <w:left w:val="none" w:sz="0" w:space="0" w:color="auto"/>
        <w:bottom w:val="none" w:sz="0" w:space="0" w:color="auto"/>
        <w:right w:val="none" w:sz="0" w:space="0" w:color="auto"/>
      </w:divBdr>
    </w:div>
    <w:div w:id="1608846642">
      <w:bodyDiv w:val="1"/>
      <w:marLeft w:val="0"/>
      <w:marRight w:val="0"/>
      <w:marTop w:val="0"/>
      <w:marBottom w:val="0"/>
      <w:divBdr>
        <w:top w:val="none" w:sz="0" w:space="0" w:color="auto"/>
        <w:left w:val="none" w:sz="0" w:space="0" w:color="auto"/>
        <w:bottom w:val="none" w:sz="0" w:space="0" w:color="auto"/>
        <w:right w:val="none" w:sz="0" w:space="0" w:color="auto"/>
      </w:divBdr>
    </w:div>
    <w:div w:id="1741095594">
      <w:bodyDiv w:val="1"/>
      <w:marLeft w:val="0"/>
      <w:marRight w:val="0"/>
      <w:marTop w:val="0"/>
      <w:marBottom w:val="0"/>
      <w:divBdr>
        <w:top w:val="none" w:sz="0" w:space="0" w:color="auto"/>
        <w:left w:val="none" w:sz="0" w:space="0" w:color="auto"/>
        <w:bottom w:val="none" w:sz="0" w:space="0" w:color="auto"/>
        <w:right w:val="none" w:sz="0" w:space="0" w:color="auto"/>
      </w:divBdr>
    </w:div>
    <w:div w:id="1786998260">
      <w:bodyDiv w:val="1"/>
      <w:marLeft w:val="0"/>
      <w:marRight w:val="0"/>
      <w:marTop w:val="0"/>
      <w:marBottom w:val="0"/>
      <w:divBdr>
        <w:top w:val="none" w:sz="0" w:space="0" w:color="auto"/>
        <w:left w:val="none" w:sz="0" w:space="0" w:color="auto"/>
        <w:bottom w:val="none" w:sz="0" w:space="0" w:color="auto"/>
        <w:right w:val="none" w:sz="0" w:space="0" w:color="auto"/>
      </w:divBdr>
    </w:div>
    <w:div w:id="19093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6167-3154-464E-9FA2-7FB4A556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11</Pages>
  <Words>15642</Words>
  <Characters>8916</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RePack by Diakov</cp:lastModifiedBy>
  <cp:revision>132</cp:revision>
  <cp:lastPrinted>2023-02-08T15:04:00Z</cp:lastPrinted>
  <dcterms:created xsi:type="dcterms:W3CDTF">2022-08-10T15:09:00Z</dcterms:created>
  <dcterms:modified xsi:type="dcterms:W3CDTF">2023-04-06T08:19:00Z</dcterms:modified>
</cp:coreProperties>
</file>