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D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17806" w:rsidRPr="00F94EC9" w:rsidRDefault="00117806" w:rsidP="00FA288F">
      <w:pPr>
        <w:ind w:left="6379"/>
        <w:jc w:val="left"/>
        <w:rPr>
          <w:sz w:val="26"/>
          <w:szCs w:val="26"/>
          <w:lang w:eastAsia="uk-UA"/>
        </w:rPr>
      </w:pPr>
    </w:p>
    <w:p w:rsidR="001651D9" w:rsidRPr="00F94EC9" w:rsidRDefault="00117806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____________________</w:t>
      </w:r>
    </w:p>
    <w:p w:rsidR="001651D9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8F6B40" w:rsidRPr="00F94EC9" w:rsidRDefault="008F6B40" w:rsidP="00F03E60">
      <w:pPr>
        <w:jc w:val="center"/>
        <w:rPr>
          <w:b/>
          <w:sz w:val="26"/>
          <w:szCs w:val="26"/>
          <w:lang w:eastAsia="uk-UA"/>
        </w:rPr>
      </w:pP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ED6D50" w:rsidRDefault="00CC122F" w:rsidP="00CC6C49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  <w:r w:rsidR="00117806">
        <w:rPr>
          <w:b/>
          <w:sz w:val="26"/>
          <w:szCs w:val="26"/>
          <w:lang w:eastAsia="uk-UA"/>
        </w:rPr>
        <w:t>з</w:t>
      </w:r>
    </w:p>
    <w:p w:rsidR="001651D9" w:rsidRPr="00F94EC9" w:rsidRDefault="008F6B40" w:rsidP="00CC6C49">
      <w:pPr>
        <w:tabs>
          <w:tab w:val="left" w:pos="3969"/>
        </w:tabs>
        <w:jc w:val="center"/>
        <w:rPr>
          <w:lang w:eastAsia="uk-UA"/>
        </w:rPr>
      </w:pPr>
      <w:r>
        <w:rPr>
          <w:b/>
          <w:sz w:val="26"/>
          <w:szCs w:val="26"/>
          <w:lang w:eastAsia="uk-UA"/>
        </w:rPr>
        <w:t>державної реєстрації обтяжень речових прав на нерухоме майно</w:t>
      </w:r>
      <w:r w:rsidR="00CC6C49">
        <w:rPr>
          <w:b/>
          <w:sz w:val="26"/>
          <w:szCs w:val="26"/>
          <w:lang w:eastAsia="uk-UA"/>
        </w:rPr>
        <w:t xml:space="preserve"> </w:t>
      </w:r>
    </w:p>
    <w:p w:rsidR="00F03E60" w:rsidRPr="00F94EC9" w:rsidRDefault="00117806" w:rsidP="00BE5E7F">
      <w:pPr>
        <w:jc w:val="center"/>
        <w:rPr>
          <w:lang w:eastAsia="uk-UA"/>
        </w:rPr>
      </w:pPr>
      <w:r w:rsidRPr="00117806">
        <w:rPr>
          <w:b/>
          <w:color w:val="000000"/>
          <w:sz w:val="24"/>
          <w:szCs w:val="24"/>
          <w:lang w:val="ru-RU"/>
        </w:rPr>
        <w:t xml:space="preserve"> </w:t>
      </w:r>
      <w:r w:rsidRPr="006623BD">
        <w:rPr>
          <w:b/>
          <w:color w:val="000000"/>
          <w:sz w:val="24"/>
          <w:szCs w:val="24"/>
          <w:lang w:val="ru-RU"/>
        </w:rPr>
        <w:t xml:space="preserve">Центр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надання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адміністративних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послуг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664CC">
        <w:rPr>
          <w:b/>
          <w:color w:val="000000"/>
          <w:sz w:val="24"/>
          <w:szCs w:val="24"/>
          <w:lang w:val="ru-RU"/>
        </w:rPr>
        <w:t>виконавчого</w:t>
      </w:r>
      <w:proofErr w:type="spellEnd"/>
      <w:r w:rsidR="007664C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664CC">
        <w:rPr>
          <w:b/>
          <w:color w:val="000000"/>
          <w:sz w:val="24"/>
          <w:szCs w:val="24"/>
          <w:lang w:val="ru-RU"/>
        </w:rPr>
        <w:t>комітету</w:t>
      </w:r>
      <w:proofErr w:type="spellEnd"/>
      <w:r w:rsidR="007664C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C8694F" w:rsidRPr="00C8694F">
        <w:rPr>
          <w:b/>
          <w:color w:val="000000"/>
          <w:sz w:val="24"/>
          <w:szCs w:val="24"/>
          <w:lang w:val="ru-RU"/>
        </w:rPr>
        <w:t>Шептиц</w:t>
      </w:r>
      <w:r w:rsidRPr="006623BD">
        <w:rPr>
          <w:b/>
          <w:color w:val="000000"/>
          <w:sz w:val="24"/>
          <w:szCs w:val="24"/>
          <w:lang w:val="ru-RU"/>
        </w:rPr>
        <w:t>ької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6623BD">
        <w:rPr>
          <w:b/>
          <w:color w:val="000000"/>
          <w:sz w:val="24"/>
          <w:szCs w:val="24"/>
          <w:lang w:val="ru-RU"/>
        </w:rPr>
        <w:t>міської</w:t>
      </w:r>
      <w:proofErr w:type="spellEnd"/>
      <w:r w:rsidRPr="006623BD">
        <w:rPr>
          <w:b/>
          <w:color w:val="000000"/>
          <w:sz w:val="24"/>
          <w:szCs w:val="24"/>
          <w:lang w:val="ru-RU"/>
        </w:rPr>
        <w:t xml:space="preserve"> ради</w:t>
      </w:r>
      <w:r w:rsidRPr="00DC623E">
        <w:rPr>
          <w:color w:val="000000"/>
          <w:lang w:val="ru-RU"/>
        </w:rPr>
        <w:t xml:space="preserve"> </w:t>
      </w:r>
      <w:r w:rsidR="00F03E60" w:rsidRPr="00F94EC9">
        <w:rPr>
          <w:lang w:eastAsia="uk-UA"/>
        </w:rPr>
        <w:t>__________________________________________________________</w:t>
      </w:r>
      <w:r w:rsidR="00FA288F" w:rsidRPr="00F94EC9">
        <w:rPr>
          <w:lang w:eastAsia="uk-UA"/>
        </w:rPr>
        <w:t>_</w:t>
      </w:r>
      <w:r w:rsidR="00F03E60" w:rsidRPr="00F94EC9">
        <w:rPr>
          <w:lang w:eastAsia="uk-UA"/>
        </w:rPr>
        <w:t>______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"/>
        <w:gridCol w:w="3149"/>
        <w:gridCol w:w="6428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ind w:left="151"/>
              <w:rPr>
                <w:color w:val="000000"/>
                <w:sz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80100, м"/>
              </w:smartTagPr>
              <w:r w:rsidRPr="00501A8C">
                <w:rPr>
                  <w:sz w:val="24"/>
                  <w:szCs w:val="24"/>
                  <w:lang w:eastAsia="uk-UA"/>
                </w:rPr>
                <w:t xml:space="preserve">80100, </w:t>
              </w:r>
              <w:proofErr w:type="spellStart"/>
              <w:r w:rsidRPr="00501A8C">
                <w:rPr>
                  <w:sz w:val="24"/>
                  <w:szCs w:val="24"/>
                  <w:lang w:eastAsia="uk-UA"/>
                </w:rPr>
                <w:t>м</w:t>
              </w:r>
            </w:smartTag>
            <w:r w:rsidRPr="00501A8C">
              <w:rPr>
                <w:sz w:val="24"/>
                <w:szCs w:val="24"/>
                <w:lang w:eastAsia="uk-UA"/>
              </w:rPr>
              <w:t>.</w:t>
            </w:r>
            <w:r w:rsidR="007664CC">
              <w:rPr>
                <w:sz w:val="24"/>
                <w:szCs w:val="24"/>
                <w:lang w:eastAsia="uk-UA"/>
              </w:rPr>
              <w:t>Шептицький</w:t>
            </w:r>
            <w:proofErr w:type="spellEnd"/>
            <w:r w:rsidR="007664CC">
              <w:rPr>
                <w:sz w:val="24"/>
                <w:szCs w:val="24"/>
                <w:lang w:eastAsia="uk-UA"/>
              </w:rPr>
              <w:t>,</w:t>
            </w:r>
            <w:r w:rsidRPr="00501A8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01A8C">
              <w:rPr>
                <w:sz w:val="24"/>
                <w:szCs w:val="24"/>
                <w:lang w:eastAsia="uk-UA"/>
              </w:rPr>
              <w:t>вул.Сокальська</w:t>
            </w:r>
            <w:proofErr w:type="spellEnd"/>
            <w:r w:rsidRPr="00501A8C">
              <w:rPr>
                <w:sz w:val="24"/>
                <w:szCs w:val="24"/>
                <w:lang w:eastAsia="uk-UA"/>
              </w:rPr>
              <w:t>, 1</w:t>
            </w:r>
          </w:p>
          <w:p w:rsidR="003945B6" w:rsidRPr="00F94EC9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7806" w:rsidRPr="00EA43AF" w:rsidRDefault="008F6B40" w:rsidP="00117806">
            <w:pPr>
              <w:widowControl w:val="0"/>
              <w:autoSpaceDE w:val="0"/>
              <w:autoSpaceDN w:val="0"/>
              <w:spacing w:line="26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17806" w:rsidRPr="00EA43AF">
              <w:rPr>
                <w:sz w:val="24"/>
                <w:szCs w:val="24"/>
                <w:shd w:val="clear" w:color="auto" w:fill="FFFFFF"/>
                <w:lang w:val="ru-RU"/>
              </w:rPr>
              <w:t xml:space="preserve">Понеділок:8:00 –17:15; </w:t>
            </w:r>
            <w:proofErr w:type="spellStart"/>
            <w:r w:rsidR="00117806" w:rsidRPr="00EA43AF">
              <w:rPr>
                <w:sz w:val="24"/>
                <w:szCs w:val="24"/>
                <w:shd w:val="clear" w:color="auto" w:fill="FFFFFF"/>
                <w:lang w:val="ru-RU"/>
              </w:rPr>
              <w:t>Вівторок</w:t>
            </w:r>
            <w:proofErr w:type="spellEnd"/>
            <w:r w:rsidR="00117806" w:rsidRPr="00EA43AF">
              <w:rPr>
                <w:sz w:val="24"/>
                <w:szCs w:val="24"/>
                <w:shd w:val="clear" w:color="auto" w:fill="FFFFFF"/>
                <w:lang w:val="ru-RU"/>
              </w:rPr>
              <w:t xml:space="preserve">: 9:00 – 20:00; </w:t>
            </w:r>
          </w:p>
          <w:p w:rsidR="00117806" w:rsidRPr="00EA43AF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sz w:val="24"/>
                <w:szCs w:val="24"/>
                <w:shd w:val="clear" w:color="auto" w:fill="FFFFFF"/>
              </w:rPr>
            </w:pPr>
            <w:r w:rsidRPr="00EA43A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 xml:space="preserve">ереда: 8:00 – 17:15; </w:t>
            </w:r>
            <w:proofErr w:type="spellStart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Четвер</w:t>
            </w:r>
            <w:proofErr w:type="spellEnd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: 9:00 – 17:15;</w:t>
            </w:r>
            <w:r w:rsidRPr="00EA43AF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117806" w:rsidRPr="00EA43AF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sz w:val="24"/>
                <w:szCs w:val="24"/>
              </w:rPr>
            </w:pPr>
            <w:r w:rsidRPr="00EA43AF">
              <w:rPr>
                <w:shd w:val="clear" w:color="auto" w:fill="FFFFFF"/>
              </w:rPr>
              <w:t xml:space="preserve"> </w:t>
            </w:r>
            <w:proofErr w:type="spellStart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П'ятниця</w:t>
            </w:r>
            <w:proofErr w:type="spellEnd"/>
            <w:r w:rsidRPr="00EA43AF">
              <w:rPr>
                <w:sz w:val="24"/>
                <w:szCs w:val="24"/>
                <w:shd w:val="clear" w:color="auto" w:fill="FFFFFF"/>
                <w:lang w:val="ru-RU"/>
              </w:rPr>
              <w:t>: 8:00 – 16:00</w:t>
            </w:r>
          </w:p>
          <w:p w:rsidR="003945B6" w:rsidRPr="00F94EC9" w:rsidRDefault="003945B6" w:rsidP="00F94EC9">
            <w:pPr>
              <w:ind w:firstLine="151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94EC9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color w:val="000000"/>
                <w:sz w:val="24"/>
                <w:lang w:val="ru-RU"/>
              </w:rPr>
            </w:pPr>
            <w:r w:rsidRPr="00501A8C">
              <w:rPr>
                <w:sz w:val="24"/>
                <w:szCs w:val="24"/>
                <w:lang w:eastAsia="uk-UA"/>
              </w:rPr>
              <w:t xml:space="preserve">Телефон/факс      </w:t>
            </w:r>
          </w:p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03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  <w:lang w:val="ru-RU"/>
              </w:rPr>
              <w:t>24</w:t>
            </w:r>
            <w:r w:rsidR="007664CC">
              <w:rPr>
                <w:color w:val="000000"/>
                <w:sz w:val="24"/>
                <w:lang w:val="ru-RU"/>
              </w:rPr>
              <w:t>9</w:t>
            </w:r>
            <w:bookmarkStart w:id="1" w:name="_GoBack"/>
            <w:bookmarkEnd w:id="1"/>
            <w:r>
              <w:rPr>
                <w:color w:val="000000"/>
                <w:sz w:val="24"/>
              </w:rPr>
              <w:t xml:space="preserve">) </w:t>
            </w:r>
            <w:r>
              <w:rPr>
                <w:color w:val="000000"/>
                <w:sz w:val="24"/>
                <w:lang w:val="ru-RU"/>
              </w:rPr>
              <w:t>4-70-40</w:t>
            </w:r>
          </w:p>
          <w:p w:rsidR="00117806" w:rsidRPr="00DC623E" w:rsidRDefault="00117806" w:rsidP="00117806">
            <w:pPr>
              <w:widowControl w:val="0"/>
              <w:autoSpaceDE w:val="0"/>
              <w:autoSpaceDN w:val="0"/>
              <w:spacing w:line="266" w:lineRule="exact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szCs w:val="24"/>
                <w:lang w:eastAsia="uk-UA"/>
              </w:rPr>
              <w:t xml:space="preserve">адреса </w:t>
            </w:r>
            <w:r w:rsidRPr="00501A8C">
              <w:rPr>
                <w:sz w:val="24"/>
                <w:szCs w:val="24"/>
                <w:lang w:eastAsia="uk-UA"/>
              </w:rPr>
              <w:t>електронної пошти: cnap80100</w:t>
            </w:r>
            <w:r w:rsidRPr="00501A8C">
              <w:rPr>
                <w:sz w:val="24"/>
                <w:szCs w:val="24"/>
                <w:lang w:val="ru-RU" w:eastAsia="uk-UA"/>
              </w:rPr>
              <w:t>@</w:t>
            </w:r>
            <w:proofErr w:type="spellStart"/>
            <w:r w:rsidRPr="00501A8C">
              <w:rPr>
                <w:sz w:val="24"/>
                <w:szCs w:val="24"/>
                <w:lang w:eastAsia="uk-UA"/>
              </w:rPr>
              <w:t>ukr</w:t>
            </w:r>
            <w:proofErr w:type="spellEnd"/>
            <w:r w:rsidRPr="00501A8C">
              <w:rPr>
                <w:sz w:val="24"/>
                <w:szCs w:val="24"/>
                <w:lang w:val="ru-RU" w:eastAsia="uk-UA"/>
              </w:rPr>
              <w:t>.</w:t>
            </w:r>
            <w:proofErr w:type="spellStart"/>
            <w:r w:rsidRPr="00501A8C">
              <w:rPr>
                <w:sz w:val="24"/>
                <w:szCs w:val="24"/>
                <w:lang w:eastAsia="uk-UA"/>
              </w:rPr>
              <w:t>net</w:t>
            </w:r>
            <w:proofErr w:type="spellEnd"/>
          </w:p>
          <w:p w:rsidR="003945B6" w:rsidRPr="00117806" w:rsidRDefault="003945B6" w:rsidP="00F94EC9">
            <w:pPr>
              <w:ind w:firstLine="151"/>
              <w:rPr>
                <w:i/>
                <w:sz w:val="24"/>
                <w:szCs w:val="24"/>
                <w:lang w:val="ru-RU" w:eastAsia="uk-UA"/>
              </w:rPr>
            </w:pP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ED6D5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="00ED6D50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6164A3" w:rsidRDefault="004B708A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6164A3" w:rsidRPr="006164A3">
              <w:rPr>
                <w:sz w:val="24"/>
                <w:szCs w:val="24"/>
                <w:lang w:eastAsia="uk-UA"/>
              </w:rPr>
              <w:t xml:space="preserve"> (</w:t>
            </w:r>
            <w:r w:rsidR="006164A3">
              <w:rPr>
                <w:sz w:val="24"/>
                <w:szCs w:val="24"/>
                <w:lang w:eastAsia="uk-UA"/>
              </w:rPr>
              <w:t>зі змінами</w:t>
            </w:r>
            <w:r w:rsidR="006164A3" w:rsidRPr="006164A3">
              <w:rPr>
                <w:sz w:val="24"/>
                <w:szCs w:val="24"/>
                <w:lang w:eastAsia="uk-UA"/>
              </w:rPr>
              <w:t>)</w:t>
            </w:r>
            <w:r w:rsidR="00473F06">
              <w:rPr>
                <w:sz w:val="24"/>
                <w:szCs w:val="24"/>
                <w:lang w:eastAsia="uk-UA"/>
              </w:rPr>
              <w:t>,</w:t>
            </w:r>
          </w:p>
          <w:p w:rsidR="00CC6C49" w:rsidRDefault="00473F06" w:rsidP="0083712B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CC6C49">
              <w:rPr>
                <w:sz w:val="24"/>
                <w:szCs w:val="24"/>
                <w:lang w:eastAsia="uk-UA"/>
              </w:rPr>
              <w:t xml:space="preserve">останова Кабінету </w:t>
            </w:r>
            <w:proofErr w:type="spellStart"/>
            <w:r w:rsidR="00CC6C49">
              <w:rPr>
                <w:sz w:val="24"/>
                <w:szCs w:val="24"/>
                <w:lang w:eastAsia="uk-UA"/>
              </w:rPr>
              <w:t>Міністрів</w:t>
            </w:r>
            <w:r w:rsidR="008F6B40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="00CC6C49">
              <w:rPr>
                <w:sz w:val="24"/>
                <w:szCs w:val="24"/>
                <w:lang w:eastAsia="uk-UA"/>
              </w:rPr>
              <w:t xml:space="preserve"> від 26 жовтня 2011 року</w:t>
            </w:r>
            <w:r w:rsidR="008F6B40">
              <w:rPr>
                <w:sz w:val="24"/>
                <w:szCs w:val="24"/>
                <w:lang w:eastAsia="uk-UA"/>
              </w:rPr>
              <w:t xml:space="preserve"> </w:t>
            </w:r>
            <w:r w:rsidR="00CC6C49">
              <w:rPr>
                <w:sz w:val="24"/>
                <w:szCs w:val="24"/>
                <w:lang w:eastAsia="uk-UA"/>
              </w:rPr>
              <w:t>№ 1141 «</w:t>
            </w:r>
            <w:r w:rsidR="00CC6C49" w:rsidRPr="00CC6C49">
              <w:rPr>
                <w:sz w:val="24"/>
                <w:szCs w:val="24"/>
                <w:lang w:eastAsia="uk-UA"/>
              </w:rPr>
              <w:t>Про затвердження Порядку ведення Державного реєстру речових прав на нерухоме майно</w:t>
            </w:r>
            <w:r w:rsidR="00CC6C49">
              <w:rPr>
                <w:sz w:val="24"/>
                <w:szCs w:val="24"/>
                <w:lang w:eastAsia="uk-UA"/>
              </w:rPr>
              <w:t>»</w:t>
            </w:r>
            <w:r w:rsidR="006164A3">
              <w:rPr>
                <w:sz w:val="24"/>
                <w:szCs w:val="24"/>
                <w:lang w:eastAsia="uk-UA"/>
              </w:rPr>
              <w:t xml:space="preserve"> (зі змінами)</w:t>
            </w:r>
          </w:p>
          <w:p w:rsidR="00117806" w:rsidRDefault="00117806" w:rsidP="0011780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постанова Кабінету Міністрів України від 06 березня</w:t>
            </w:r>
          </w:p>
          <w:p w:rsidR="00117806" w:rsidRDefault="00117806" w:rsidP="0011780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2022 року № 209 «Деякі питання державної реєстрації та</w:t>
            </w:r>
          </w:p>
          <w:p w:rsidR="00117806" w:rsidRPr="00F94EC9" w:rsidRDefault="00117806" w:rsidP="0011780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функціонування єдиних та державних реєстрів,</w:t>
            </w:r>
            <w:r w:rsidR="003C764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держателем яких є Міністерство юстиції, в умовах воєнного стану» (зі змінами)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5051" w:rsidRDefault="00ED6D50" w:rsidP="00ED6D50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 w:rsidRPr="00ED6D50"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</w:r>
            <w:r>
              <w:rPr>
                <w:sz w:val="24"/>
                <w:szCs w:val="24"/>
                <w:lang w:eastAsia="uk-UA"/>
              </w:rPr>
              <w:br/>
            </w:r>
            <w:r w:rsidRPr="00ED6D50">
              <w:rPr>
                <w:sz w:val="24"/>
                <w:szCs w:val="24"/>
                <w:lang w:eastAsia="uk-UA"/>
              </w:rPr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</w:t>
            </w:r>
          </w:p>
          <w:p w:rsidR="00117806" w:rsidRPr="00117806" w:rsidRDefault="00117806" w:rsidP="00ED6D50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C49" w:rsidRPr="00F94EC9" w:rsidRDefault="00527748" w:rsidP="00117806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заявника </w:t>
            </w:r>
            <w:r w:rsidR="00117806">
              <w:rPr>
                <w:sz w:val="24"/>
                <w:szCs w:val="24"/>
                <w:lang w:eastAsia="uk-UA"/>
              </w:rPr>
              <w:t>або уповноваженої особи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43A" w:rsidRPr="0026143A" w:rsidRDefault="00200BCD" w:rsidP="00117806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</w:t>
            </w:r>
            <w:r w:rsidR="008F6B40">
              <w:rPr>
                <w:sz w:val="24"/>
                <w:szCs w:val="24"/>
                <w:lang w:eastAsia="uk-UA"/>
              </w:rPr>
              <w:t>про державну реєстрацію прав</w:t>
            </w:r>
            <w:r w:rsidR="00117806">
              <w:rPr>
                <w:sz w:val="24"/>
                <w:szCs w:val="24"/>
                <w:lang w:eastAsia="uk-UA"/>
              </w:rPr>
              <w:t>;</w:t>
            </w:r>
          </w:p>
          <w:p w:rsidR="00117806" w:rsidRPr="00F94EC9" w:rsidRDefault="00A93784" w:rsidP="00117806">
            <w:pPr>
              <w:ind w:firstLine="223"/>
              <w:rPr>
                <w:sz w:val="24"/>
                <w:szCs w:val="24"/>
                <w:lang w:eastAsia="uk-UA"/>
              </w:rPr>
            </w:pPr>
            <w:r w:rsidRPr="00A93784">
              <w:rPr>
                <w:sz w:val="24"/>
                <w:szCs w:val="24"/>
                <w:lang w:eastAsia="uk-UA"/>
              </w:rPr>
              <w:t>документ, що підтверджу</w:t>
            </w:r>
            <w:r w:rsidR="00117806">
              <w:rPr>
                <w:sz w:val="24"/>
                <w:szCs w:val="24"/>
                <w:lang w:eastAsia="uk-UA"/>
              </w:rPr>
              <w:t>є</w:t>
            </w:r>
            <w:r w:rsidRPr="00A93784">
              <w:rPr>
                <w:sz w:val="24"/>
                <w:szCs w:val="24"/>
                <w:lang w:eastAsia="uk-UA"/>
              </w:rPr>
              <w:t xml:space="preserve"> сплату адміністративного збору </w:t>
            </w:r>
            <w:r w:rsidR="008F6B40">
              <w:rPr>
                <w:sz w:val="24"/>
                <w:szCs w:val="24"/>
                <w:lang w:eastAsia="uk-UA"/>
              </w:rPr>
              <w:t>у</w:t>
            </w:r>
            <w:r w:rsidR="00117806">
              <w:rPr>
                <w:sz w:val="24"/>
                <w:szCs w:val="24"/>
                <w:lang w:eastAsia="uk-UA"/>
              </w:rPr>
              <w:t xml:space="preserve"> повному обсязі або документ, що підтверджує право на звільнення від сплати адміністративного збору</w:t>
            </w:r>
            <w:bookmarkStart w:id="3" w:name="n507"/>
            <w:bookmarkEnd w:id="3"/>
            <w:r w:rsidR="008F6B40">
              <w:rPr>
                <w:sz w:val="24"/>
                <w:szCs w:val="24"/>
                <w:lang w:eastAsia="uk-UA"/>
              </w:rPr>
              <w:t>;</w:t>
            </w:r>
          </w:p>
          <w:p w:rsidR="00F03E60" w:rsidRPr="00F94EC9" w:rsidRDefault="008F6B40" w:rsidP="00C8694F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документи, передбачені </w:t>
            </w:r>
            <w:r w:rsidR="00C8694F">
              <w:rPr>
                <w:sz w:val="24"/>
              </w:rPr>
              <w:t>частиною другою</w:t>
            </w:r>
            <w:r w:rsidR="00C8694F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статт</w:t>
            </w:r>
            <w:r w:rsidR="00C8694F">
              <w:rPr>
                <w:rFonts w:ascii="TimesNewRomanPSMT" w:eastAsiaTheme="minorHAnsi" w:hAnsi="TimesNewRomanPSMT" w:cs="TimesNewRomanPSMT"/>
                <w:sz w:val="24"/>
                <w:szCs w:val="24"/>
              </w:rPr>
              <w:t>і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27 Закону України «Про</w:t>
            </w:r>
            <w:r w:rsidR="00C8694F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державну реєстрацію речових прав на нерухоме майно та</w:t>
            </w:r>
            <w:r w:rsidR="00C8694F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їх обтяжень» та Порядком державної реєстрації речових</w:t>
            </w:r>
            <w:r w:rsidR="00C8694F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прав на нерухоме майно та їх обтяжень, затвердженим</w:t>
            </w:r>
            <w:r w:rsidR="00C8694F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постановою Кабінету Міністрів України від 25 грудня</w:t>
            </w:r>
            <w:r w:rsidR="00C8694F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2015 року № 1127 «Про державну реєстрацію речових правна нерухоме майно та їх обтяжень» (зі змінами)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8694F" w:rsidP="008F6B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</w:rPr>
              <w:t>У паперовій формі документи подаються заявником особисто або уповноваженою ним особою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94EC9" w:rsidRDefault="008F6B40" w:rsidP="0058171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Адміністративна послуга надається платно, крім випадків, передбачених статтею 34 Закону України «Про</w:t>
            </w:r>
            <w:r w:rsidR="00581719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державну реєстрацію речових прав на нерухоме майно та</w:t>
            </w:r>
            <w:r w:rsidR="00581719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їх обтяжень»</w:t>
            </w:r>
          </w:p>
        </w:tc>
      </w:tr>
      <w:tr w:rsidR="00F94EC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Pr="0029223E" w:rsidRDefault="000A32B0" w:rsidP="0058171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27748">
              <w:rPr>
                <w:sz w:val="24"/>
                <w:szCs w:val="24"/>
              </w:rPr>
              <w:t xml:space="preserve"> </w:t>
            </w:r>
            <w:r w:rsidR="00B00CF3" w:rsidRPr="00B00CF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 w:rsidR="00B00CF3" w:rsidRPr="00B00CF3">
              <w:rPr>
                <w:sz w:val="24"/>
                <w:szCs w:val="24"/>
              </w:rPr>
              <w:t xml:space="preserve"> </w:t>
            </w:r>
            <w:r w:rsidR="00527748">
              <w:rPr>
                <w:sz w:val="24"/>
                <w:szCs w:val="24"/>
              </w:rPr>
              <w:t>реєстрації</w:t>
            </w:r>
            <w:r w:rsidR="00B00CF3" w:rsidRPr="00B00CF3">
              <w:rPr>
                <w:sz w:val="24"/>
                <w:szCs w:val="24"/>
              </w:rPr>
              <w:t xml:space="preserve"> заяви </w:t>
            </w:r>
            <w:r w:rsidR="00581719">
              <w:rPr>
                <w:sz w:val="24"/>
                <w:szCs w:val="24"/>
              </w:rPr>
              <w:t xml:space="preserve">в </w:t>
            </w:r>
            <w:r w:rsidR="00B00CF3" w:rsidRPr="00B00CF3">
              <w:rPr>
                <w:sz w:val="24"/>
                <w:szCs w:val="24"/>
              </w:rPr>
              <w:t>Державно</w:t>
            </w:r>
            <w:r w:rsidR="00581719">
              <w:rPr>
                <w:sz w:val="24"/>
                <w:szCs w:val="24"/>
              </w:rPr>
              <w:t>му реєстрі</w:t>
            </w:r>
            <w:r w:rsidR="00B00CF3" w:rsidRPr="00B00CF3">
              <w:rPr>
                <w:sz w:val="24"/>
                <w:szCs w:val="24"/>
              </w:rPr>
              <w:t xml:space="preserve"> речових прав на нерухоме майно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7954" w:rsidRPr="003A7954" w:rsidRDefault="003A7954" w:rsidP="00C74B67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7954" w:rsidRPr="00F94EC9" w:rsidRDefault="00C8694F" w:rsidP="00C823C7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</w:rPr>
              <w:t>Перелік підстав для залишення заяви про державну реєстрацію прав без руху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1) подання документів для державної реєстрації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обтяження речового права на нерухоме майно не в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повному обсязі, передбаченому законодавством;</w:t>
            </w:r>
          </w:p>
          <w:p w:rsidR="00E5464E" w:rsidRDefault="00581719" w:rsidP="00E5464E">
            <w:pPr>
              <w:spacing w:line="238" w:lineRule="auto"/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2) </w:t>
            </w:r>
            <w:r w:rsidR="00E5464E">
              <w:rPr>
                <w:sz w:val="24"/>
              </w:rPr>
              <w:t xml:space="preserve">відсутність документа, що підтверджує оплату адміністративних послуг у повному обсязі; </w:t>
            </w:r>
          </w:p>
          <w:p w:rsidR="003A7954" w:rsidRPr="003A7954" w:rsidRDefault="00E5464E" w:rsidP="00E5464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</w:t>
            </w:r>
            <w:r w:rsidR="00581719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3) направлення запиту до суду для отримання копії </w:t>
            </w:r>
            <w:r w:rsidR="003C7640">
              <w:rPr>
                <w:sz w:val="24"/>
                <w:szCs w:val="24"/>
              </w:rPr>
              <w:t>судового</w:t>
            </w:r>
            <w:r w:rsidR="003A7954" w:rsidRPr="003A7954">
              <w:rPr>
                <w:sz w:val="24"/>
                <w:szCs w:val="24"/>
              </w:rPr>
              <w:t xml:space="preserve"> рішення 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2790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2790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1) заявлене обтяження не підлягає державній реєстрації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відповідно до Закону України «Про державну реєстрацію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речових прав на нерухоме майно та їх обтяжень»;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2) заява про державну реєстрацію прав подана неналежною особою;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3) подані документи не відповідають вимогам,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встановленим Законом України «Про державну реєстрацію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речових прав на нерухоме майно та їх обтяжень»;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4) подані документи не дають змоги встановити набуття,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зміну або припинення речових прав на нерухоме майно та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їх обтяження;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5) наявні суперечності між заявленими та вже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зареєстрованими речовими правами на нерухоме майно та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їх обтяженнями;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6) наявні зареєстровані обтяження речових прав на</w:t>
            </w:r>
          </w:p>
          <w:p w:rsidR="003A7954" w:rsidRDefault="00581719" w:rsidP="00581719">
            <w:pPr>
              <w:pStyle w:val="a3"/>
              <w:tabs>
                <w:tab w:val="left" w:pos="1565"/>
              </w:tabs>
              <w:ind w:left="577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нерухоме майно;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7) заяву про державну реєстрацію обтяжень щодо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попереднього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правонабувача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подано після державної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реєстрації права власності на таке майно за новим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правонабувачем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 8) після завершення строку, встановленого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частиною третьою статті 23 Закону України «Про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державну реєстрацію речових прав на нерухоме майно та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їх обтяжень», не усунені обставини, що були підставою</w:t>
            </w:r>
          </w:p>
          <w:p w:rsidR="00E5464E" w:rsidRDefault="00E5464E" w:rsidP="00E5464E">
            <w:pPr>
              <w:spacing w:line="238" w:lineRule="auto"/>
              <w:ind w:left="5" w:right="57"/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lastRenderedPageBreak/>
              <w:t xml:space="preserve">для прийняття рішення про </w:t>
            </w:r>
            <w:r>
              <w:rPr>
                <w:sz w:val="24"/>
              </w:rPr>
              <w:t xml:space="preserve">залишення заяви про державну реєстрацію прав без руху; 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 9) документи подано до неналежного суб’єкта державної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реєстрації прав, нотаріуса;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 10) заявником подано ті самі документи, на підставі яких</w:t>
            </w:r>
          </w:p>
          <w:p w:rsidR="00581719" w:rsidRPr="00581719" w:rsidRDefault="00581719" w:rsidP="00581719">
            <w:pPr>
              <w:tabs>
                <w:tab w:val="left" w:pos="1565"/>
              </w:tabs>
              <w:rPr>
                <w:i/>
                <w:sz w:val="24"/>
                <w:szCs w:val="24"/>
                <w:lang w:eastAsia="uk-UA"/>
              </w:rPr>
            </w:pPr>
            <w:r w:rsidRPr="00581719">
              <w:rPr>
                <w:rFonts w:ascii="TimesNewRomanPSMT" w:eastAsiaTheme="minorHAnsi" w:hAnsi="TimesNewRomanPSMT" w:cs="TimesNewRomanPSMT"/>
                <w:sz w:val="24"/>
                <w:szCs w:val="24"/>
              </w:rPr>
              <w:t>заявлене обтяження вже зареєстровано у Державному реєстрі речових прав на нерухоме майно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32790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32790A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bookmarkStart w:id="7" w:name="o638"/>
            <w:bookmarkEnd w:id="7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 1) прийняття рішення про державну реєстрацію прав;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внесення до відкритого розділу або спеціального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розділу Державного реєстру речових прав на нерухоме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майно відповідних відомостей про обтяження, про об’єкти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та суб’єктів цих прав;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формування витягу з Державного реєстру речових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прав на нерухоме майно про проведену державну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реєстрацію прав;</w:t>
            </w:r>
          </w:p>
          <w:p w:rsidR="00581719" w:rsidRDefault="00581719" w:rsidP="00581719">
            <w:pPr>
              <w:autoSpaceDE w:val="0"/>
              <w:autoSpaceDN w:val="0"/>
              <w:adjustRightInd w:val="0"/>
              <w:jc w:val="left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  2) рішення про відмову у державній реєстрації із</w:t>
            </w:r>
          </w:p>
          <w:p w:rsidR="00E8111A" w:rsidRPr="00581719" w:rsidRDefault="00581719" w:rsidP="00581719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r w:rsidRPr="00581719">
              <w:rPr>
                <w:rFonts w:ascii="TimesNewRomanPSMT" w:eastAsiaTheme="minorHAnsi" w:hAnsi="TimesNewRomanPSMT" w:cs="TimesNewRomanPSMT"/>
                <w:sz w:val="24"/>
                <w:szCs w:val="24"/>
              </w:rPr>
              <w:t>зазначення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м виключного переліку обставин,</w:t>
            </w:r>
            <w:r w:rsidRPr="00581719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що стали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підставою для його </w:t>
            </w:r>
            <w:r w:rsidR="007A757C" w:rsidRPr="00581719">
              <w:rPr>
                <w:sz w:val="24"/>
                <w:szCs w:val="24"/>
                <w:lang w:eastAsia="uk-UA"/>
              </w:rPr>
              <w:t>прийняття</w:t>
            </w:r>
          </w:p>
        </w:tc>
      </w:tr>
      <w:tr w:rsidR="003A7954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D505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32790A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Pr="00F94EC9" w:rsidRDefault="003A795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7954" w:rsidRDefault="007A757C" w:rsidP="001511D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Через центр надання адміністративних послуг або безпосередньо державним реєстратором;</w:t>
            </w:r>
          </w:p>
          <w:p w:rsidR="007A757C" w:rsidRPr="007A757C" w:rsidRDefault="007A757C" w:rsidP="001511D9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uk-UA"/>
              </w:rPr>
              <w:t>Вебпортал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Мін</w:t>
            </w:r>
            <w:r>
              <w:rPr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sz w:val="24"/>
                <w:szCs w:val="24"/>
                <w:lang w:eastAsia="uk-UA"/>
              </w:rPr>
              <w:t>юсту</w:t>
            </w:r>
            <w:proofErr w:type="spellEnd"/>
            <w:r>
              <w:rPr>
                <w:sz w:val="24"/>
                <w:szCs w:val="24"/>
                <w:lang w:eastAsia="uk-UA"/>
              </w:rPr>
              <w:t>*</w:t>
            </w:r>
          </w:p>
        </w:tc>
      </w:tr>
    </w:tbl>
    <w:p w:rsidR="0059459D" w:rsidRPr="00723B4A" w:rsidRDefault="0059459D">
      <w:pPr>
        <w:rPr>
          <w:sz w:val="24"/>
          <w:szCs w:val="24"/>
        </w:rPr>
      </w:pPr>
      <w:bookmarkStart w:id="8" w:name="n43"/>
      <w:bookmarkEnd w:id="8"/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2096"/>
        <w:gridCol w:w="1831"/>
      </w:tblGrid>
      <w:tr w:rsidR="0059459D" w:rsidRPr="00F94EC9" w:rsidTr="007A757C">
        <w:tc>
          <w:tcPr>
            <w:tcW w:w="6030" w:type="dxa"/>
          </w:tcPr>
          <w:p w:rsidR="0059459D" w:rsidRPr="007A757C" w:rsidRDefault="0059459D" w:rsidP="001511D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096" w:type="dxa"/>
          </w:tcPr>
          <w:p w:rsidR="0059459D" w:rsidRPr="007A757C" w:rsidRDefault="0059459D" w:rsidP="00BD06D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31" w:type="dxa"/>
            <w:hideMark/>
          </w:tcPr>
          <w:p w:rsidR="007E4E51" w:rsidRPr="007A757C" w:rsidRDefault="007E4E51" w:rsidP="00BD06DC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  <w:p w:rsidR="007B32B7" w:rsidRPr="007A757C" w:rsidRDefault="007B32B7" w:rsidP="00BD06DC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581719" w:rsidRDefault="00581719" w:rsidP="00581719">
      <w:pPr>
        <w:rPr>
          <w:i/>
          <w:sz w:val="24"/>
          <w:szCs w:val="24"/>
        </w:rPr>
      </w:pPr>
      <w:r w:rsidRPr="00582ADC">
        <w:rPr>
          <w:i/>
        </w:rPr>
        <w:t>*</w:t>
      </w:r>
      <w:r>
        <w:rPr>
          <w:i/>
          <w:sz w:val="24"/>
          <w:szCs w:val="24"/>
        </w:rPr>
        <w:t>П</w:t>
      </w:r>
      <w:r w:rsidRPr="00582ADC">
        <w:rPr>
          <w:i/>
          <w:sz w:val="24"/>
          <w:szCs w:val="24"/>
        </w:rPr>
        <w:t xml:space="preserve">ісля </w:t>
      </w:r>
      <w:r>
        <w:rPr>
          <w:i/>
          <w:sz w:val="24"/>
          <w:szCs w:val="24"/>
        </w:rPr>
        <w:t>доопрацювання порталу електронних сервісів, який буде забезпечувати можливість подання таких документів в електронній формі</w:t>
      </w:r>
      <w:r w:rsidRPr="00582ADC">
        <w:rPr>
          <w:i/>
          <w:sz w:val="24"/>
          <w:szCs w:val="24"/>
        </w:rPr>
        <w:t xml:space="preserve"> </w:t>
      </w:r>
    </w:p>
    <w:p w:rsidR="0059459D" w:rsidRPr="00F94EC9" w:rsidRDefault="0059459D"/>
    <w:sectPr w:rsidR="0059459D" w:rsidRPr="00F94EC9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CA" w:rsidRDefault="00A672CA">
      <w:r>
        <w:separator/>
      </w:r>
    </w:p>
  </w:endnote>
  <w:endnote w:type="continuationSeparator" w:id="0">
    <w:p w:rsidR="00A672CA" w:rsidRDefault="00A6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CA" w:rsidRDefault="00A672CA">
      <w:r>
        <w:separator/>
      </w:r>
    </w:p>
  </w:footnote>
  <w:footnote w:type="continuationSeparator" w:id="0">
    <w:p w:rsidR="00A672CA" w:rsidRDefault="00A67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FD6" w:rsidRPr="003945B6" w:rsidRDefault="00253D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664CC" w:rsidRPr="007664CC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A672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27396F56"/>
    <w:multiLevelType w:val="hybridMultilevel"/>
    <w:tmpl w:val="59F0A17E"/>
    <w:lvl w:ilvl="0" w:tplc="47BA2680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>
    <w:nsid w:val="3A602452"/>
    <w:multiLevelType w:val="hybridMultilevel"/>
    <w:tmpl w:val="FED49FC4"/>
    <w:lvl w:ilvl="0" w:tplc="AA342990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>
    <w:nsid w:val="49383B16"/>
    <w:multiLevelType w:val="hybridMultilevel"/>
    <w:tmpl w:val="3B4E76C6"/>
    <w:lvl w:ilvl="0" w:tplc="F4C48DBE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>
    <w:nsid w:val="79D77965"/>
    <w:multiLevelType w:val="hybridMultilevel"/>
    <w:tmpl w:val="EA6CF370"/>
    <w:lvl w:ilvl="0" w:tplc="B31EFF7C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20D0FE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62A70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4EE5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8205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225C6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48F3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4A10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67C34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42A7F"/>
    <w:rsid w:val="000605BE"/>
    <w:rsid w:val="00084C29"/>
    <w:rsid w:val="00085371"/>
    <w:rsid w:val="000A32B0"/>
    <w:rsid w:val="000C20B5"/>
    <w:rsid w:val="000C77D7"/>
    <w:rsid w:val="000F2113"/>
    <w:rsid w:val="00115B24"/>
    <w:rsid w:val="001177F6"/>
    <w:rsid w:val="00117806"/>
    <w:rsid w:val="00142A11"/>
    <w:rsid w:val="001511D9"/>
    <w:rsid w:val="00155143"/>
    <w:rsid w:val="001611BA"/>
    <w:rsid w:val="001651D9"/>
    <w:rsid w:val="001924F0"/>
    <w:rsid w:val="001A78B1"/>
    <w:rsid w:val="001B34C5"/>
    <w:rsid w:val="001B4E6C"/>
    <w:rsid w:val="001D5657"/>
    <w:rsid w:val="001E0E70"/>
    <w:rsid w:val="00200BCD"/>
    <w:rsid w:val="00216288"/>
    <w:rsid w:val="00234BF6"/>
    <w:rsid w:val="0023746A"/>
    <w:rsid w:val="00253DD4"/>
    <w:rsid w:val="0026143A"/>
    <w:rsid w:val="00264EFA"/>
    <w:rsid w:val="002701F6"/>
    <w:rsid w:val="0029223E"/>
    <w:rsid w:val="002A134F"/>
    <w:rsid w:val="002B035F"/>
    <w:rsid w:val="002C5FE2"/>
    <w:rsid w:val="00313492"/>
    <w:rsid w:val="00325051"/>
    <w:rsid w:val="00325E5E"/>
    <w:rsid w:val="0032790A"/>
    <w:rsid w:val="0037224D"/>
    <w:rsid w:val="003945B6"/>
    <w:rsid w:val="00395BBB"/>
    <w:rsid w:val="003A7954"/>
    <w:rsid w:val="003C7640"/>
    <w:rsid w:val="00430CF3"/>
    <w:rsid w:val="00473F06"/>
    <w:rsid w:val="00497481"/>
    <w:rsid w:val="004B708A"/>
    <w:rsid w:val="004E0545"/>
    <w:rsid w:val="004E5D5B"/>
    <w:rsid w:val="004F324E"/>
    <w:rsid w:val="004F6B66"/>
    <w:rsid w:val="0052271C"/>
    <w:rsid w:val="00523281"/>
    <w:rsid w:val="00527748"/>
    <w:rsid w:val="005403D3"/>
    <w:rsid w:val="00542C48"/>
    <w:rsid w:val="005634B4"/>
    <w:rsid w:val="00581719"/>
    <w:rsid w:val="00586539"/>
    <w:rsid w:val="00592154"/>
    <w:rsid w:val="0059459D"/>
    <w:rsid w:val="005959BD"/>
    <w:rsid w:val="005B1B2C"/>
    <w:rsid w:val="005E52B8"/>
    <w:rsid w:val="00610313"/>
    <w:rsid w:val="006164A3"/>
    <w:rsid w:val="00622936"/>
    <w:rsid w:val="00687468"/>
    <w:rsid w:val="00690FCC"/>
    <w:rsid w:val="006D7D9B"/>
    <w:rsid w:val="00722219"/>
    <w:rsid w:val="00722A3F"/>
    <w:rsid w:val="00723B4A"/>
    <w:rsid w:val="00750F9B"/>
    <w:rsid w:val="00764200"/>
    <w:rsid w:val="007664CC"/>
    <w:rsid w:val="00783197"/>
    <w:rsid w:val="007837EB"/>
    <w:rsid w:val="00791CD5"/>
    <w:rsid w:val="007A660F"/>
    <w:rsid w:val="007A7278"/>
    <w:rsid w:val="007A757C"/>
    <w:rsid w:val="007B32B7"/>
    <w:rsid w:val="007B4A2C"/>
    <w:rsid w:val="007B7B83"/>
    <w:rsid w:val="007C172C"/>
    <w:rsid w:val="007C259A"/>
    <w:rsid w:val="007E4A66"/>
    <w:rsid w:val="007E4E51"/>
    <w:rsid w:val="007F625B"/>
    <w:rsid w:val="00804F08"/>
    <w:rsid w:val="00805BC3"/>
    <w:rsid w:val="008123DA"/>
    <w:rsid w:val="00824963"/>
    <w:rsid w:val="00827847"/>
    <w:rsid w:val="0083712B"/>
    <w:rsid w:val="00842E04"/>
    <w:rsid w:val="00856E0C"/>
    <w:rsid w:val="00857E81"/>
    <w:rsid w:val="00861A85"/>
    <w:rsid w:val="00870CA5"/>
    <w:rsid w:val="008B1659"/>
    <w:rsid w:val="008B449D"/>
    <w:rsid w:val="008C0A98"/>
    <w:rsid w:val="008C4F62"/>
    <w:rsid w:val="008F6B40"/>
    <w:rsid w:val="00911F85"/>
    <w:rsid w:val="00945D2F"/>
    <w:rsid w:val="00961DD1"/>
    <w:rsid w:val="009620EA"/>
    <w:rsid w:val="009A2573"/>
    <w:rsid w:val="009C7C5E"/>
    <w:rsid w:val="009D2108"/>
    <w:rsid w:val="009F5792"/>
    <w:rsid w:val="00A02025"/>
    <w:rsid w:val="00A07DA4"/>
    <w:rsid w:val="00A4484A"/>
    <w:rsid w:val="00A672CA"/>
    <w:rsid w:val="00A7050D"/>
    <w:rsid w:val="00A82B8D"/>
    <w:rsid w:val="00A82E40"/>
    <w:rsid w:val="00A93784"/>
    <w:rsid w:val="00AA25EE"/>
    <w:rsid w:val="00AA7677"/>
    <w:rsid w:val="00AC4F38"/>
    <w:rsid w:val="00AE27FB"/>
    <w:rsid w:val="00AE65A0"/>
    <w:rsid w:val="00B00CF3"/>
    <w:rsid w:val="00B07779"/>
    <w:rsid w:val="00B22FA0"/>
    <w:rsid w:val="00B51941"/>
    <w:rsid w:val="00B579ED"/>
    <w:rsid w:val="00B66F74"/>
    <w:rsid w:val="00BA0008"/>
    <w:rsid w:val="00BB06FD"/>
    <w:rsid w:val="00BC1CBF"/>
    <w:rsid w:val="00BE13CA"/>
    <w:rsid w:val="00BE5E7F"/>
    <w:rsid w:val="00BF7369"/>
    <w:rsid w:val="00C04EFA"/>
    <w:rsid w:val="00C14084"/>
    <w:rsid w:val="00C47C56"/>
    <w:rsid w:val="00C638C2"/>
    <w:rsid w:val="00C66B63"/>
    <w:rsid w:val="00C74B67"/>
    <w:rsid w:val="00C8694F"/>
    <w:rsid w:val="00CB63F4"/>
    <w:rsid w:val="00CC122F"/>
    <w:rsid w:val="00CC6C49"/>
    <w:rsid w:val="00CD0DD2"/>
    <w:rsid w:val="00D03D12"/>
    <w:rsid w:val="00D122AF"/>
    <w:rsid w:val="00D27758"/>
    <w:rsid w:val="00D34EA5"/>
    <w:rsid w:val="00D36D97"/>
    <w:rsid w:val="00D607C9"/>
    <w:rsid w:val="00D7695F"/>
    <w:rsid w:val="00D92F17"/>
    <w:rsid w:val="00DA1733"/>
    <w:rsid w:val="00DB03D7"/>
    <w:rsid w:val="00DC2A9F"/>
    <w:rsid w:val="00DD003D"/>
    <w:rsid w:val="00DD36A3"/>
    <w:rsid w:val="00DD505F"/>
    <w:rsid w:val="00DE6CCD"/>
    <w:rsid w:val="00E016F5"/>
    <w:rsid w:val="00E06381"/>
    <w:rsid w:val="00E20177"/>
    <w:rsid w:val="00E3515D"/>
    <w:rsid w:val="00E43F0B"/>
    <w:rsid w:val="00E445C3"/>
    <w:rsid w:val="00E51A6F"/>
    <w:rsid w:val="00E5464E"/>
    <w:rsid w:val="00E55BA5"/>
    <w:rsid w:val="00E8111A"/>
    <w:rsid w:val="00E8689A"/>
    <w:rsid w:val="00E9323A"/>
    <w:rsid w:val="00EC550D"/>
    <w:rsid w:val="00ED6D50"/>
    <w:rsid w:val="00EE1889"/>
    <w:rsid w:val="00EE6F32"/>
    <w:rsid w:val="00EF1618"/>
    <w:rsid w:val="00F03830"/>
    <w:rsid w:val="00F03964"/>
    <w:rsid w:val="00F03E60"/>
    <w:rsid w:val="00F24A85"/>
    <w:rsid w:val="00F52ADF"/>
    <w:rsid w:val="00F94EC9"/>
    <w:rsid w:val="00FA288F"/>
    <w:rsid w:val="00FB3DD9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DBDC14-DD74-410F-9523-C75E6CF1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7EE4-4EC9-4788-B98D-CE1B852A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3789</Words>
  <Characters>2160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Specialist</cp:lastModifiedBy>
  <cp:revision>3</cp:revision>
  <cp:lastPrinted>2018-05-29T07:01:00Z</cp:lastPrinted>
  <dcterms:created xsi:type="dcterms:W3CDTF">2026-05-01T11:36:00Z</dcterms:created>
  <dcterms:modified xsi:type="dcterms:W3CDTF">2026-05-12T08:45:00Z</dcterms:modified>
</cp:coreProperties>
</file>