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16" w:rsidRPr="00700DE2" w:rsidRDefault="00542E16" w:rsidP="00700D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2E16" w:rsidRPr="00700DE2" w:rsidRDefault="00542E16" w:rsidP="00700D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00DE2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542E16" w:rsidRPr="00700DE2" w:rsidRDefault="00542E16" w:rsidP="00700D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0DE2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42E16" w:rsidRPr="00700DE2" w:rsidRDefault="00542E16" w:rsidP="00700DE2">
      <w:pPr>
        <w:spacing w:after="12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00DE2">
        <w:rPr>
          <w:rFonts w:ascii="Times New Roman" w:hAnsi="Times New Roman"/>
          <w:i/>
          <w:sz w:val="24"/>
          <w:szCs w:val="24"/>
        </w:rPr>
        <w:t>(відповідно до пункту 4</w:t>
      </w:r>
      <w:r w:rsidRPr="00700DE2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1</w:t>
      </w:r>
      <w:r w:rsidRPr="00700DE2">
        <w:rPr>
          <w:rFonts w:ascii="Times New Roman" w:hAnsi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542E16" w:rsidRPr="00700DE2" w:rsidRDefault="00542E16" w:rsidP="00700DE2">
      <w:pPr>
        <w:spacing w:after="120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E38BA" w:rsidRPr="00700DE2" w:rsidRDefault="00542E16" w:rsidP="00700DE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700DE2">
        <w:rPr>
          <w:rFonts w:ascii="Times New Roman" w:hAnsi="Times New Roman"/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C07329" w:rsidRPr="00700DE2">
        <w:rPr>
          <w:rFonts w:ascii="Times New Roman" w:hAnsi="Times New Roman"/>
          <w:sz w:val="24"/>
          <w:szCs w:val="24"/>
          <w:lang w:val="uk-UA"/>
        </w:rPr>
        <w:t xml:space="preserve">Управління праці 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>та соціального захисту населення</w:t>
      </w:r>
      <w:r w:rsidRPr="00700DE2">
        <w:rPr>
          <w:rFonts w:ascii="Times New Roman" w:hAnsi="Times New Roman"/>
          <w:sz w:val="24"/>
          <w:szCs w:val="24"/>
          <w:lang w:val="uk-UA"/>
        </w:rPr>
        <w:t xml:space="preserve"> Червоноградської міської ради; 80100, Україна, Львівська обл., місто Червоноград, </w:t>
      </w:r>
      <w:proofErr w:type="spellStart"/>
      <w:r w:rsidR="00CE38BA" w:rsidRPr="00700DE2">
        <w:rPr>
          <w:rFonts w:ascii="Times New Roman" w:hAnsi="Times New Roman"/>
          <w:sz w:val="24"/>
          <w:szCs w:val="24"/>
          <w:lang w:val="uk-UA"/>
        </w:rPr>
        <w:t>вул.Сокальська</w:t>
      </w:r>
      <w:proofErr w:type="spellEnd"/>
      <w:r w:rsidR="00CE38BA" w:rsidRPr="00700DE2">
        <w:rPr>
          <w:rFonts w:ascii="Times New Roman" w:hAnsi="Times New Roman"/>
          <w:sz w:val="24"/>
          <w:szCs w:val="24"/>
          <w:lang w:val="uk-UA"/>
        </w:rPr>
        <w:t>, будинок 1</w:t>
      </w:r>
      <w:r w:rsidRPr="00700DE2">
        <w:rPr>
          <w:rFonts w:ascii="Times New Roman" w:hAnsi="Times New Roman"/>
          <w:sz w:val="24"/>
          <w:szCs w:val="24"/>
          <w:lang w:val="uk-UA"/>
        </w:rPr>
        <w:t xml:space="preserve">; код за ЄДРПОУ – 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>25258142</w:t>
      </w:r>
      <w:r w:rsidRPr="00700DE2">
        <w:rPr>
          <w:rFonts w:ascii="Times New Roman" w:hAnsi="Times New Roman"/>
          <w:sz w:val="24"/>
          <w:szCs w:val="24"/>
          <w:lang w:val="uk-UA"/>
        </w:rPr>
        <w:t>; категорія замовника –</w:t>
      </w:r>
      <w:r w:rsidR="00CE38BA" w:rsidRPr="00700DE2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відповідно до п.п.1 п.4 ст.2 ЗУ "Про публічні закупівлі".</w:t>
      </w:r>
    </w:p>
    <w:p w:rsidR="00CE38BA" w:rsidRPr="00700DE2" w:rsidRDefault="00542E16" w:rsidP="00700DE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00DE2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 xml:space="preserve"> Постачання електричної енергії на 2022 рік (універсальна послуга</w:t>
      </w:r>
      <w:r w:rsidR="0031040E" w:rsidRPr="00700DE2">
        <w:rPr>
          <w:rFonts w:ascii="Times New Roman" w:hAnsi="Times New Roman"/>
          <w:sz w:val="24"/>
          <w:szCs w:val="24"/>
          <w:lang w:val="uk-UA"/>
        </w:rPr>
        <w:t>)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>,</w:t>
      </w:r>
      <w:r w:rsidRPr="00700D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00DE2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Pr="00700DE2">
        <w:rPr>
          <w:rFonts w:ascii="Times New Roman" w:hAnsi="Times New Roman"/>
          <w:sz w:val="24"/>
          <w:szCs w:val="24"/>
          <w:lang w:val="uk-UA"/>
        </w:rPr>
        <w:t xml:space="preserve"> 021-2015 (CPV) 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>09310000-5</w:t>
      </w:r>
      <w:r w:rsidRPr="00700DE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CE38BA" w:rsidRPr="00700DE2">
        <w:rPr>
          <w:rFonts w:ascii="Times New Roman" w:hAnsi="Times New Roman"/>
          <w:sz w:val="24"/>
          <w:szCs w:val="24"/>
          <w:lang w:val="uk-UA"/>
        </w:rPr>
        <w:t>Електрична енергія.</w:t>
      </w:r>
      <w:r w:rsidRPr="00700DE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1040E" w:rsidRPr="00700DE2" w:rsidRDefault="00BB2C13" w:rsidP="00700DE2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00DE2">
        <w:rPr>
          <w:rFonts w:ascii="Times New Roman" w:hAnsi="Times New Roman"/>
          <w:b/>
          <w:sz w:val="24"/>
          <w:szCs w:val="24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Pr="00700DE2">
          <w:rPr>
            <w:rFonts w:ascii="Times New Roman" w:eastAsia="Times New Roman" w:hAnsi="Times New Roman"/>
            <w:color w:val="000000"/>
            <w:sz w:val="24"/>
            <w:szCs w:val="24"/>
            <w:lang w:eastAsia="uk-UA"/>
          </w:rPr>
          <w:t>UA-2021-12-20-011668-c</w:t>
        </w:r>
      </w:hyperlink>
      <w:r w:rsidRPr="00700DE2">
        <w:rPr>
          <w:rFonts w:ascii="Times New Roman" w:hAnsi="Times New Roman"/>
          <w:color w:val="000000"/>
          <w:sz w:val="24"/>
          <w:szCs w:val="24"/>
        </w:rPr>
        <w:t>.</w:t>
      </w:r>
    </w:p>
    <w:p w:rsidR="0031040E" w:rsidRPr="00700DE2" w:rsidRDefault="00542E16" w:rsidP="00700DE2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00DE2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Відповідно до п. 93 ч. 1 ст. 1 Закону України «Про ринок електричної енергії» № 2019-VIII, універсальна послуга - постачання електричної енергії побутовим та малим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непобутовим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споживачам, що гарантує їхні права бути забезпеченими електричною енергією визначеної якості на умовах, визначених відповідно до цього Закону, на всій території України. Відповідно до п. 42 ч. 1 ст. 1 Закону України «Про ринок електричної енергії», малий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непобутовий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споживач - споживач, який не є побутовим споживачем і купує електричну енергію для власного споживання, електроустановки якого приєднані до електричних мереж з договірною потужністю до 50 кВт. Електроустановка Управління праці та соціального захисту населення Червоноградської міської ради за адресою: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м.Червоноград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вул.Сокальська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1. приєднана до електричних мереж з договірною потужністю до 50 кВт. (договір про стандартне приєднання до електричних мереж системи розподілу №226-203). Отже, Управління праці та соціального захисту населення Червоноградської міської ради в розумінні Закону України «Про ринок електричної енергії» № 2019-VIII відноситься до малих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непутових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споживачів та має право бути забезпеченими електричною енергією визначеної якості на умовах, визначених відповідно до ст. 63 </w:t>
      </w:r>
      <w:proofErr w:type="spellStart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Закону№</w:t>
      </w:r>
      <w:proofErr w:type="spellEnd"/>
      <w:r w:rsidR="0031040E" w:rsidRPr="00700DE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2019-VIII, а саме на умовах універсальної послуги.</w:t>
      </w:r>
    </w:p>
    <w:p w:rsidR="00700DE2" w:rsidRPr="00700DE2" w:rsidRDefault="00700DE2" w:rsidP="00700DE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2B2B2B"/>
          <w:sz w:val="24"/>
          <w:szCs w:val="24"/>
          <w:lang w:eastAsia="uk-UA"/>
        </w:rPr>
      </w:pPr>
      <w:r w:rsidRPr="00700DE2">
        <w:rPr>
          <w:rFonts w:ascii="Times New Roman" w:hAnsi="Times New Roman"/>
          <w:b/>
          <w:sz w:val="24"/>
          <w:szCs w:val="24"/>
        </w:rPr>
        <w:t xml:space="preserve">5. </w:t>
      </w:r>
      <w:r w:rsidR="00542E16" w:rsidRPr="00700DE2">
        <w:rPr>
          <w:rFonts w:ascii="Times New Roman" w:hAnsi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700DE2">
        <w:rPr>
          <w:rFonts w:ascii="Times New Roman" w:eastAsia="Times New Roman" w:hAnsi="Times New Roman"/>
          <w:color w:val="2B2B2B"/>
          <w:sz w:val="24"/>
          <w:szCs w:val="24"/>
          <w:lang w:eastAsia="uk-UA"/>
        </w:rPr>
        <w:t>розмір бюджетного призначення визначений відповідно до рішення сесії Червоноградської міської ради від 16.12.2021 № 1009 «Про  бюджет Червоноградської міської територіальної громади на 2022 рік» та розрахунку видатків на утримання управління праці та соціального захисту населення  Червоноградської міської ради на 2022 рік по КПКВК - 0810160.</w:t>
      </w:r>
    </w:p>
    <w:p w:rsidR="008922B0" w:rsidRPr="00700DE2" w:rsidRDefault="00700DE2" w:rsidP="00700DE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0DE2">
        <w:rPr>
          <w:rFonts w:ascii="Times New Roman" w:hAnsi="Times New Roman"/>
          <w:b/>
          <w:sz w:val="24"/>
          <w:szCs w:val="24"/>
          <w:lang w:val="ru-RU"/>
        </w:rPr>
        <w:t>6.</w:t>
      </w:r>
      <w:r w:rsidR="00542E16" w:rsidRPr="00700DE2">
        <w:rPr>
          <w:rFonts w:ascii="Times New Roman" w:hAnsi="Times New Roman"/>
          <w:b/>
          <w:sz w:val="24"/>
          <w:szCs w:val="24"/>
        </w:rPr>
        <w:t xml:space="preserve">Обґрунтування очікуваної вартості предмета закупівлі: </w:t>
      </w:r>
      <w:r w:rsidR="00CD50E5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визначено шляхом розрахунку використання </w:t>
      </w:r>
      <w:proofErr w:type="spellStart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електричної</w:t>
      </w:r>
      <w:proofErr w:type="spellEnd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</w:t>
      </w:r>
      <w:proofErr w:type="spellStart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енергії</w:t>
      </w:r>
      <w:proofErr w:type="spellEnd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(</w:t>
      </w:r>
      <w:proofErr w:type="spellStart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універсальна</w:t>
      </w:r>
      <w:proofErr w:type="spellEnd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</w:t>
      </w:r>
      <w:proofErr w:type="spellStart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послуга</w:t>
      </w:r>
      <w:proofErr w:type="spellEnd"/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)</w:t>
      </w:r>
      <w:r w:rsidR="00CD50E5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у </w:t>
      </w:r>
      <w:r w:rsidR="000700F4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кВт</w:t>
      </w:r>
      <w:r w:rsidR="008922B0" w:rsidRPr="00700DE2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за минулі роки.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Відповідно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до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частини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3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статті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63 Закону № 2019-VIII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постачальник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надає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за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економічно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обґрунтованими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прозорими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недискримінаційними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цінами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що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формуються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відповідно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до методики (порядку),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затвердженої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Регулятором, та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включають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зокрема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ціну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купівлі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на ринку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ціну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(тариф)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постачальника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універсальних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ціни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(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тарифи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)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оператора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системи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передачі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 оператора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системи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відповідно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до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укладених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договорів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про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надання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відповідних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. «Методика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розрахунку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тарифу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постачальника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універсальних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lastRenderedPageBreak/>
        <w:t>послуг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»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затверджена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Постановою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НКРЕКП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05.10.2018 року № 1176 «Про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затвердження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Методики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розрахунку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тарифу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постачальника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універсальних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». «Порядок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формування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цін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»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затверджений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</w:t>
      </w:r>
      <w:r w:rsidR="00F64E0D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тановою</w:t>
      </w:r>
      <w:proofErr w:type="spellEnd"/>
      <w:r w:rsidR="00F64E0D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НКРЕКП </w:t>
      </w:r>
      <w:proofErr w:type="spellStart"/>
      <w:r w:rsidR="00F64E0D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від</w:t>
      </w:r>
      <w:proofErr w:type="spellEnd"/>
      <w:r w:rsidR="00F64E0D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05.10.2018 №</w:t>
      </w:r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1177</w:t>
      </w:r>
      <w:r w:rsidR="00F64E0D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(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наступними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змінами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доповненнями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). Таким чином, тариф на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послугу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є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державним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регульованим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тарифом,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всі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складові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вартості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що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поставляється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за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універсальною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послугою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підлягають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державному </w:t>
      </w:r>
      <w:proofErr w:type="spellStart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регулюванню</w:t>
      </w:r>
      <w:proofErr w:type="spellEnd"/>
      <w:r w:rsidR="008922B0" w:rsidRPr="00700DE2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.</w:t>
      </w:r>
    </w:p>
    <w:p w:rsidR="00542E16" w:rsidRPr="00700DE2" w:rsidRDefault="00700DE2" w:rsidP="00700DE2">
      <w:pPr>
        <w:pStyle w:val="a3"/>
        <w:tabs>
          <w:tab w:val="left" w:pos="851"/>
        </w:tabs>
        <w:spacing w:after="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00DE2">
        <w:rPr>
          <w:rFonts w:ascii="Times New Roman" w:hAnsi="Times New Roman"/>
          <w:b/>
          <w:sz w:val="24"/>
          <w:szCs w:val="24"/>
        </w:rPr>
        <w:t xml:space="preserve">7. </w:t>
      </w:r>
      <w:r w:rsidR="00542E16" w:rsidRPr="00700DE2">
        <w:rPr>
          <w:rFonts w:ascii="Times New Roman" w:hAnsi="Times New Roman"/>
          <w:b/>
          <w:sz w:val="24"/>
          <w:szCs w:val="24"/>
          <w:lang w:val="uk-UA"/>
        </w:rPr>
        <w:t xml:space="preserve">Процедура закупівлі: </w:t>
      </w:r>
      <w:r w:rsidR="00542E16" w:rsidRPr="00700DE2">
        <w:rPr>
          <w:rFonts w:ascii="Times New Roman" w:hAnsi="Times New Roman"/>
          <w:sz w:val="24"/>
          <w:szCs w:val="24"/>
          <w:lang w:val="uk-UA"/>
        </w:rPr>
        <w:t>Переговорна процедура (скорочена).</w:t>
      </w:r>
    </w:p>
    <w:bookmarkEnd w:id="0"/>
    <w:p w:rsidR="00542E16" w:rsidRPr="0031040E" w:rsidRDefault="00542E16" w:rsidP="00700DE2">
      <w:pPr>
        <w:pStyle w:val="a5"/>
        <w:spacing w:before="0" w:beforeAutospacing="0" w:after="0" w:afterAutospacing="0"/>
        <w:jc w:val="both"/>
        <w:rPr>
          <w:rStyle w:val="rvts0"/>
          <w:lang w:eastAsia="ru-RU"/>
        </w:rPr>
      </w:pPr>
    </w:p>
    <w:sectPr w:rsidR="00542E16" w:rsidRPr="0031040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ECF"/>
    <w:multiLevelType w:val="hybridMultilevel"/>
    <w:tmpl w:val="D7C08834"/>
    <w:lvl w:ilvl="0" w:tplc="4782AE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9FA68A2"/>
    <w:multiLevelType w:val="hybridMultilevel"/>
    <w:tmpl w:val="999C92E4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0B1F80"/>
    <w:rsid w:val="000164E3"/>
    <w:rsid w:val="000210D2"/>
    <w:rsid w:val="0005238D"/>
    <w:rsid w:val="00065AB1"/>
    <w:rsid w:val="000700F4"/>
    <w:rsid w:val="00071A9F"/>
    <w:rsid w:val="0009090B"/>
    <w:rsid w:val="00090ED7"/>
    <w:rsid w:val="00096318"/>
    <w:rsid w:val="000B1F80"/>
    <w:rsid w:val="000C3C84"/>
    <w:rsid w:val="000C4740"/>
    <w:rsid w:val="000C58C4"/>
    <w:rsid w:val="000C6188"/>
    <w:rsid w:val="000D292C"/>
    <w:rsid w:val="000D4B6A"/>
    <w:rsid w:val="00134054"/>
    <w:rsid w:val="0016079C"/>
    <w:rsid w:val="00182AF6"/>
    <w:rsid w:val="001A67B0"/>
    <w:rsid w:val="001F4DE5"/>
    <w:rsid w:val="0021508D"/>
    <w:rsid w:val="00223944"/>
    <w:rsid w:val="00231736"/>
    <w:rsid w:val="002327C5"/>
    <w:rsid w:val="00245EF5"/>
    <w:rsid w:val="00297614"/>
    <w:rsid w:val="002C40DC"/>
    <w:rsid w:val="0031040E"/>
    <w:rsid w:val="00355418"/>
    <w:rsid w:val="00355C13"/>
    <w:rsid w:val="00366FB6"/>
    <w:rsid w:val="00370C4C"/>
    <w:rsid w:val="00395056"/>
    <w:rsid w:val="00395493"/>
    <w:rsid w:val="003C45AB"/>
    <w:rsid w:val="003D049E"/>
    <w:rsid w:val="0045755E"/>
    <w:rsid w:val="0046225F"/>
    <w:rsid w:val="004724C6"/>
    <w:rsid w:val="004941EB"/>
    <w:rsid w:val="00514ED0"/>
    <w:rsid w:val="00524BD6"/>
    <w:rsid w:val="00525031"/>
    <w:rsid w:val="00542E16"/>
    <w:rsid w:val="00554015"/>
    <w:rsid w:val="005621FD"/>
    <w:rsid w:val="00575E3F"/>
    <w:rsid w:val="005828CF"/>
    <w:rsid w:val="0058332C"/>
    <w:rsid w:val="00595B53"/>
    <w:rsid w:val="005A0570"/>
    <w:rsid w:val="005B38E8"/>
    <w:rsid w:val="005C747B"/>
    <w:rsid w:val="00605842"/>
    <w:rsid w:val="006124A8"/>
    <w:rsid w:val="00637669"/>
    <w:rsid w:val="006770A5"/>
    <w:rsid w:val="006926EF"/>
    <w:rsid w:val="006A1BE5"/>
    <w:rsid w:val="006B24DA"/>
    <w:rsid w:val="006B2BDC"/>
    <w:rsid w:val="00700DE2"/>
    <w:rsid w:val="007720C7"/>
    <w:rsid w:val="00777DA0"/>
    <w:rsid w:val="007827DE"/>
    <w:rsid w:val="00796204"/>
    <w:rsid w:val="007C0FA2"/>
    <w:rsid w:val="007E5AFC"/>
    <w:rsid w:val="007E7C94"/>
    <w:rsid w:val="008100D9"/>
    <w:rsid w:val="008172BE"/>
    <w:rsid w:val="008922B0"/>
    <w:rsid w:val="008B26F8"/>
    <w:rsid w:val="0091294B"/>
    <w:rsid w:val="009209D0"/>
    <w:rsid w:val="00920C8F"/>
    <w:rsid w:val="00936005"/>
    <w:rsid w:val="00952860"/>
    <w:rsid w:val="00967106"/>
    <w:rsid w:val="00967420"/>
    <w:rsid w:val="00A1044B"/>
    <w:rsid w:val="00A14BB3"/>
    <w:rsid w:val="00A7237C"/>
    <w:rsid w:val="00A7433C"/>
    <w:rsid w:val="00A83726"/>
    <w:rsid w:val="00A930E1"/>
    <w:rsid w:val="00AC5484"/>
    <w:rsid w:val="00AC6759"/>
    <w:rsid w:val="00AD2D37"/>
    <w:rsid w:val="00B0646B"/>
    <w:rsid w:val="00B12373"/>
    <w:rsid w:val="00B520F1"/>
    <w:rsid w:val="00B577E7"/>
    <w:rsid w:val="00B6060F"/>
    <w:rsid w:val="00B84D1D"/>
    <w:rsid w:val="00BB2C13"/>
    <w:rsid w:val="00BB38BE"/>
    <w:rsid w:val="00BC4B3F"/>
    <w:rsid w:val="00C030FC"/>
    <w:rsid w:val="00C07329"/>
    <w:rsid w:val="00C13F37"/>
    <w:rsid w:val="00C43DC8"/>
    <w:rsid w:val="00C45EDF"/>
    <w:rsid w:val="00C819C9"/>
    <w:rsid w:val="00C82757"/>
    <w:rsid w:val="00CB42EE"/>
    <w:rsid w:val="00CD50E5"/>
    <w:rsid w:val="00CE38BA"/>
    <w:rsid w:val="00D023BA"/>
    <w:rsid w:val="00D031B5"/>
    <w:rsid w:val="00D031D5"/>
    <w:rsid w:val="00D37AD3"/>
    <w:rsid w:val="00D40D10"/>
    <w:rsid w:val="00D417A2"/>
    <w:rsid w:val="00D43543"/>
    <w:rsid w:val="00D91F99"/>
    <w:rsid w:val="00D94834"/>
    <w:rsid w:val="00DE5978"/>
    <w:rsid w:val="00DE7A44"/>
    <w:rsid w:val="00E01148"/>
    <w:rsid w:val="00E12B87"/>
    <w:rsid w:val="00E24347"/>
    <w:rsid w:val="00E33FD8"/>
    <w:rsid w:val="00E70D21"/>
    <w:rsid w:val="00E77195"/>
    <w:rsid w:val="00EA1B3F"/>
    <w:rsid w:val="00EC1DA6"/>
    <w:rsid w:val="00EE367E"/>
    <w:rsid w:val="00F25EE9"/>
    <w:rsid w:val="00F46F75"/>
    <w:rsid w:val="00F64E0D"/>
    <w:rsid w:val="00F72B79"/>
    <w:rsid w:val="00FF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B1F80"/>
    <w:pPr>
      <w:ind w:left="720"/>
      <w:contextualSpacing/>
    </w:pPr>
    <w:rPr>
      <w:sz w:val="20"/>
      <w:szCs w:val="20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0B1F80"/>
    <w:rPr>
      <w:rFonts w:ascii="Calibri" w:hAnsi="Calibri"/>
    </w:rPr>
  </w:style>
  <w:style w:type="paragraph" w:customStyle="1" w:styleId="a5">
    <w:name w:val="a"/>
    <w:basedOn w:val="a"/>
    <w:uiPriority w:val="99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basedOn w:val="a0"/>
    <w:uiPriority w:val="99"/>
    <w:rsid w:val="006770A5"/>
    <w:rPr>
      <w:rFonts w:cs="Times New Roman"/>
      <w:color w:val="0000FF"/>
      <w:u w:val="single"/>
    </w:rPr>
  </w:style>
  <w:style w:type="character" w:customStyle="1" w:styleId="rvts0">
    <w:name w:val="rvts0"/>
    <w:basedOn w:val="a0"/>
    <w:uiPriority w:val="99"/>
    <w:rsid w:val="00C82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10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100D9"/>
    <w:rPr>
      <w:rFonts w:ascii="Tahoma" w:hAnsi="Tahoma" w:cs="Times New Roman"/>
      <w:sz w:val="16"/>
      <w:lang w:val="uk-UA" w:eastAsia="en-US"/>
    </w:rPr>
  </w:style>
  <w:style w:type="character" w:customStyle="1" w:styleId="js-apiid">
    <w:name w:val="js-apiid"/>
    <w:basedOn w:val="a0"/>
    <w:rsid w:val="00BB2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2-20-011668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F6AF-292B-4E37-9376-7E9F22BF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Обґрунтування</vt:lpstr>
      <vt:lpstr>Обґрунтування </vt:lpstr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</dc:title>
  <dc:subject/>
  <dc:creator>HP</dc:creator>
  <cp:keywords/>
  <dc:description/>
  <cp:lastModifiedBy>Rosa</cp:lastModifiedBy>
  <cp:revision>6</cp:revision>
  <cp:lastPrinted>2021-07-16T08:45:00Z</cp:lastPrinted>
  <dcterms:created xsi:type="dcterms:W3CDTF">2021-11-08T11:52:00Z</dcterms:created>
  <dcterms:modified xsi:type="dcterms:W3CDTF">2021-12-30T14:08:00Z</dcterms:modified>
</cp:coreProperties>
</file>