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616" w:type="dxa"/>
        <w:jc w:val="left"/>
        <w:tblInd w:w="-108" w:type="dxa"/>
        <w:tblBorders/>
        <w:tblCellMar>
          <w:top w:w="0" w:type="dxa"/>
          <w:left w:w="108" w:type="dxa"/>
          <w:bottom w:w="0" w:type="dxa"/>
          <w:right w:w="108" w:type="dxa"/>
        </w:tblCellMar>
      </w:tblPr>
      <w:tblGrid>
        <w:gridCol w:w="3228"/>
        <w:gridCol w:w="3207"/>
        <w:gridCol w:w="3181"/>
      </w:tblGrid>
      <w:tr>
        <w:trPr>
          <w:trHeight w:val="1042" w:hRule="atLeast"/>
        </w:trPr>
        <w:tc>
          <w:tcPr>
            <w:tcW w:w="9616" w:type="dxa"/>
            <w:gridSpan w:val="3"/>
            <w:tcBorders/>
            <w:shd w:fill="auto" w:val="clear"/>
          </w:tcPr>
          <w:p>
            <w:pPr>
              <w:pStyle w:val="Style21"/>
              <w:rPr/>
            </w:pPr>
            <w:r>
              <w:rPr/>
              <w:drawing>
                <wp:inline distT="0" distB="0" distL="0" distR="0">
                  <wp:extent cx="422910" cy="60134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7" t="-5" r="-7" b="-5"/>
                          <a:stretch>
                            <a:fillRect/>
                          </a:stretch>
                        </pic:blipFill>
                        <pic:spPr bwMode="auto">
                          <a:xfrm>
                            <a:off x="0" y="0"/>
                            <a:ext cx="422910" cy="601345"/>
                          </a:xfrm>
                          <a:prstGeom prst="rect">
                            <a:avLst/>
                          </a:prstGeom>
                        </pic:spPr>
                      </pic:pic>
                    </a:graphicData>
                  </a:graphic>
                </wp:inline>
              </w:drawing>
            </w:r>
            <w:r>
              <w:rPr/>
              <w:t xml:space="preserve">                  </w:t>
            </w:r>
          </w:p>
          <w:p>
            <w:pPr>
              <w:pStyle w:val="Normal"/>
              <w:tabs>
                <w:tab w:val="left" w:pos="561" w:leader="none"/>
              </w:tabs>
              <w:spacing w:before="0" w:after="0"/>
              <w:ind w:left="0" w:right="0" w:firstLine="567"/>
              <w:jc w:val="center"/>
              <w:rPr>
                <w:rFonts w:ascii="Times New Roman" w:hAnsi="Times New Roman" w:cs="Times New Roman"/>
                <w:b/>
                <w:b/>
                <w:bCs/>
                <w:sz w:val="28"/>
                <w:szCs w:val="28"/>
                <w:lang w:val="uk-UA"/>
              </w:rPr>
            </w:pPr>
            <w:r>
              <w:rPr>
                <w:rFonts w:cs="Times New Roman" w:ascii="Times New Roman" w:hAnsi="Times New Roman"/>
                <w:b/>
                <w:bCs/>
                <w:sz w:val="28"/>
                <w:szCs w:val="28"/>
                <w:lang w:val="uk-UA"/>
              </w:rPr>
              <w:t>ЧЕРВОНОГРАДСЬКА МIСЬКА РАДА</w:t>
            </w:r>
          </w:p>
          <w:p>
            <w:pPr>
              <w:pStyle w:val="Normal"/>
              <w:tabs>
                <w:tab w:val="left" w:pos="561" w:leader="none"/>
              </w:tabs>
              <w:spacing w:before="0" w:after="0"/>
              <w:ind w:left="0" w:right="0" w:firstLine="567"/>
              <w:jc w:val="center"/>
              <w:rPr>
                <w:rFonts w:ascii="Times New Roman" w:hAnsi="Times New Roman" w:cs="Times New Roman"/>
                <w:b/>
                <w:b/>
                <w:bCs/>
                <w:sz w:val="28"/>
                <w:szCs w:val="28"/>
                <w:lang w:val="uk-UA"/>
              </w:rPr>
            </w:pPr>
            <w:r>
              <w:rPr>
                <w:rFonts w:cs="Times New Roman" w:ascii="Times New Roman" w:hAnsi="Times New Roman"/>
                <w:b/>
                <w:bCs/>
                <w:sz w:val="28"/>
                <w:szCs w:val="28"/>
                <w:lang w:val="uk-UA"/>
              </w:rPr>
              <w:t>Львiвської областi</w:t>
            </w:r>
          </w:p>
          <w:p>
            <w:pPr>
              <w:pStyle w:val="Normal"/>
              <w:tabs>
                <w:tab w:val="left" w:pos="561" w:leader="none"/>
              </w:tabs>
              <w:spacing w:before="0" w:after="0"/>
              <w:ind w:left="0" w:right="0" w:firstLine="567"/>
              <w:jc w:val="center"/>
              <w:rPr>
                <w:rFonts w:ascii="Times New Roman" w:hAnsi="Times New Roman" w:cs="Times New Roman"/>
                <w:b/>
                <w:b/>
                <w:bCs/>
                <w:sz w:val="28"/>
                <w:szCs w:val="28"/>
                <w:lang w:val="uk-UA"/>
              </w:rPr>
            </w:pPr>
            <w:r>
              <w:rPr>
                <w:rFonts w:cs="Times New Roman" w:ascii="Times New Roman" w:hAnsi="Times New Roman"/>
                <w:b/>
                <w:bCs/>
                <w:sz w:val="28"/>
                <w:szCs w:val="28"/>
                <w:lang w:val="uk-UA"/>
              </w:rPr>
              <w:t>Тридцять шоста  сесiя сьомого скликання</w:t>
            </w:r>
          </w:p>
          <w:p>
            <w:pPr>
              <w:pStyle w:val="Normal"/>
              <w:tabs>
                <w:tab w:val="left" w:pos="561" w:leader="none"/>
              </w:tabs>
              <w:spacing w:before="0" w:after="0"/>
              <w:ind w:left="0" w:right="0" w:firstLine="567"/>
              <w:jc w:val="center"/>
              <w:rPr>
                <w:rFonts w:ascii="Times New Roman" w:hAnsi="Times New Roman" w:cs="Times New Roman"/>
                <w:b/>
                <w:b/>
                <w:bCs/>
                <w:sz w:val="28"/>
                <w:szCs w:val="28"/>
              </w:rPr>
            </w:pPr>
            <w:r>
              <w:rPr>
                <w:rFonts w:cs="Times New Roman" w:ascii="Times New Roman" w:hAnsi="Times New Roman"/>
                <w:b/>
                <w:bCs/>
                <w:sz w:val="28"/>
                <w:szCs w:val="28"/>
              </w:rPr>
              <w:t>Р I Ш Е Н Н Я</w:t>
            </w:r>
          </w:p>
        </w:tc>
      </w:tr>
      <w:tr>
        <w:trPr>
          <w:trHeight w:val="411" w:hRule="atLeast"/>
        </w:trPr>
        <w:tc>
          <w:tcPr>
            <w:tcW w:w="3228" w:type="dxa"/>
            <w:tcBorders/>
            <w:shd w:fill="auto" w:val="clear"/>
          </w:tcPr>
          <w:p>
            <w:pPr>
              <w:pStyle w:val="Normal"/>
              <w:tabs>
                <w:tab w:val="left" w:pos="561" w:leader="none"/>
              </w:tabs>
              <w:snapToGrid w:val="false"/>
              <w:spacing w:before="0" w:after="200"/>
              <w:jc w:val="center"/>
              <w:rPr>
                <w:rFonts w:ascii="Times New Roman" w:hAnsi="Times New Roman" w:cs="Times New Roman"/>
                <w:sz w:val="16"/>
                <w:szCs w:val="16"/>
                <w:lang w:val="uk-UA"/>
              </w:rPr>
            </w:pPr>
            <w:r>
              <w:rPr>
                <w:rFonts w:cs="Times New Roman" w:ascii="Times New Roman" w:hAnsi="Times New Roman"/>
                <w:sz w:val="16"/>
                <w:szCs w:val="16"/>
                <w:lang w:val="uk-UA"/>
              </w:rPr>
            </w:r>
          </w:p>
        </w:tc>
        <w:tc>
          <w:tcPr>
            <w:tcW w:w="3207" w:type="dxa"/>
            <w:tcBorders/>
            <w:shd w:fill="auto" w:val="clear"/>
          </w:tcPr>
          <w:p>
            <w:pPr>
              <w:pStyle w:val="1"/>
              <w:numPr>
                <w:ilvl w:val="0"/>
                <w:numId w:val="2"/>
              </w:numPr>
              <w:tabs>
                <w:tab w:val="left" w:pos="561" w:leader="none"/>
                <w:tab w:val="left" w:pos="935" w:leader="none"/>
              </w:tabs>
              <w:snapToGrid w:val="false"/>
              <w:spacing w:lineRule="auto" w:line="276"/>
              <w:ind w:left="0" w:right="0" w:firstLine="561"/>
              <w:rPr>
                <w:rFonts w:ascii="Times New Roman" w:hAnsi="Times New Roman" w:cs="Times New Roman"/>
                <w:sz w:val="16"/>
                <w:szCs w:val="16"/>
                <w:lang w:val="uk-UA"/>
              </w:rPr>
            </w:pPr>
            <w:r>
              <w:rPr>
                <w:rFonts w:cs="Times New Roman"/>
                <w:sz w:val="16"/>
                <w:szCs w:val="16"/>
                <w:lang w:val="uk-UA"/>
              </w:rPr>
            </w:r>
          </w:p>
        </w:tc>
        <w:tc>
          <w:tcPr>
            <w:tcW w:w="3181" w:type="dxa"/>
            <w:tcBorders/>
            <w:shd w:fill="auto" w:val="clear"/>
          </w:tcPr>
          <w:p>
            <w:pPr>
              <w:pStyle w:val="Normal"/>
              <w:tabs>
                <w:tab w:val="left" w:pos="561" w:leader="none"/>
              </w:tabs>
              <w:snapToGrid w:val="false"/>
              <w:spacing w:before="0" w:after="200"/>
              <w:jc w:val="center"/>
              <w:rPr>
                <w:rFonts w:ascii="Times New Roman" w:hAnsi="Times New Roman" w:cs="Times New Roman"/>
                <w:sz w:val="16"/>
                <w:szCs w:val="16"/>
                <w:lang w:val="uk-UA"/>
              </w:rPr>
            </w:pPr>
            <w:r>
              <w:rPr>
                <w:rFonts w:cs="Times New Roman" w:ascii="Times New Roman" w:hAnsi="Times New Roman"/>
                <w:sz w:val="16"/>
                <w:szCs w:val="16"/>
                <w:lang w:val="uk-UA"/>
              </w:rPr>
            </w:r>
          </w:p>
        </w:tc>
      </w:tr>
      <w:tr>
        <w:trPr>
          <w:trHeight w:val="563" w:hRule="atLeast"/>
        </w:trPr>
        <w:tc>
          <w:tcPr>
            <w:tcW w:w="3228" w:type="dxa"/>
            <w:tcBorders/>
            <w:shd w:fill="auto" w:val="clear"/>
          </w:tcPr>
          <w:p>
            <w:pPr>
              <w:pStyle w:val="Normal"/>
              <w:tabs>
                <w:tab w:val="left" w:pos="561" w:leader="none"/>
              </w:tabs>
              <w:spacing w:before="0" w:after="200"/>
              <w:jc w:val="both"/>
              <w:rPr>
                <w:rFonts w:ascii="Times New Roman" w:hAnsi="Times New Roman" w:cs="Times New Roman"/>
                <w:sz w:val="26"/>
                <w:szCs w:val="26"/>
                <w:lang w:val="uk-UA"/>
              </w:rPr>
            </w:pPr>
            <w:r>
              <w:rPr>
                <w:rFonts w:cs="Times New Roman" w:ascii="Times New Roman" w:hAnsi="Times New Roman"/>
                <w:sz w:val="26"/>
                <w:szCs w:val="26"/>
                <w:lang w:val="uk-UA"/>
              </w:rPr>
              <w:t xml:space="preserve">24.01.2019 </w:t>
              <w:tab/>
            </w:r>
          </w:p>
        </w:tc>
        <w:tc>
          <w:tcPr>
            <w:tcW w:w="3207" w:type="dxa"/>
            <w:tcBorders/>
            <w:shd w:fill="auto" w:val="clear"/>
          </w:tcPr>
          <w:p>
            <w:pPr>
              <w:pStyle w:val="Normal"/>
              <w:tabs>
                <w:tab w:val="left" w:pos="561" w:leader="none"/>
              </w:tabs>
              <w:spacing w:before="0" w:after="200"/>
              <w:jc w:val="center"/>
              <w:rPr>
                <w:rFonts w:ascii="Times New Roman" w:hAnsi="Times New Roman" w:cs="Times New Roman"/>
                <w:sz w:val="26"/>
                <w:szCs w:val="26"/>
                <w:lang w:val="uk-UA"/>
              </w:rPr>
            </w:pPr>
            <w:r>
              <w:rPr>
                <w:rFonts w:cs="Times New Roman" w:ascii="Times New Roman" w:hAnsi="Times New Roman"/>
                <w:sz w:val="26"/>
                <w:szCs w:val="26"/>
                <w:lang w:val="uk-UA"/>
              </w:rPr>
              <w:t>м. Червоноград</w:t>
            </w:r>
          </w:p>
        </w:tc>
        <w:tc>
          <w:tcPr>
            <w:tcW w:w="3181" w:type="dxa"/>
            <w:tcBorders/>
            <w:shd w:fill="auto" w:val="clear"/>
          </w:tcPr>
          <w:p>
            <w:pPr>
              <w:pStyle w:val="Normal"/>
              <w:tabs>
                <w:tab w:val="left" w:pos="561" w:leader="none"/>
              </w:tabs>
              <w:spacing w:before="0" w:after="200"/>
              <w:jc w:val="right"/>
              <w:rPr>
                <w:rFonts w:ascii="Times New Roman" w:hAnsi="Times New Roman" w:cs="Times New Roman"/>
                <w:sz w:val="26"/>
                <w:szCs w:val="26"/>
                <w:lang w:val="uk-UA"/>
              </w:rPr>
            </w:pPr>
            <w:r>
              <w:rPr>
                <w:rFonts w:cs="Times New Roman" w:ascii="Times New Roman" w:hAnsi="Times New Roman"/>
                <w:sz w:val="26"/>
                <w:szCs w:val="26"/>
                <w:lang w:val="uk-UA"/>
              </w:rPr>
              <w:t>№</w:t>
            </w:r>
            <w:r>
              <w:rPr>
                <w:rFonts w:cs="Times New Roman" w:ascii="Times New Roman" w:hAnsi="Times New Roman"/>
                <w:sz w:val="26"/>
                <w:szCs w:val="26"/>
                <w:lang w:val="uk-UA"/>
              </w:rPr>
              <w:t>1140</w:t>
            </w:r>
          </w:p>
        </w:tc>
      </w:tr>
    </w:tbl>
    <w:p>
      <w:pPr>
        <w:pStyle w:val="Normal"/>
        <w:spacing w:lineRule="auto" w:line="240" w:before="0" w:after="0"/>
        <w:rPr>
          <w:rFonts w:ascii="Times New Roman" w:hAnsi="Times New Roman" w:cs="Times New Roman"/>
          <w:b/>
          <w:b/>
          <w:sz w:val="26"/>
          <w:szCs w:val="26"/>
          <w:lang w:val="uk-UA"/>
        </w:rPr>
      </w:pPr>
      <w:r>
        <w:rPr>
          <w:rFonts w:cs="Times New Roman" w:ascii="Times New Roman" w:hAnsi="Times New Roman"/>
          <w:b/>
          <w:sz w:val="26"/>
          <w:szCs w:val="26"/>
          <w:lang w:val="uk-UA"/>
        </w:rPr>
        <w:t>Про  затвердження Порядку складання,</w:t>
      </w:r>
    </w:p>
    <w:p>
      <w:pPr>
        <w:pStyle w:val="Normal"/>
        <w:spacing w:lineRule="auto" w:line="240" w:before="0" w:after="0"/>
        <w:rPr>
          <w:rFonts w:ascii="Times New Roman" w:hAnsi="Times New Roman" w:cs="Times New Roman"/>
          <w:b/>
          <w:b/>
          <w:sz w:val="26"/>
          <w:szCs w:val="26"/>
          <w:lang w:val="uk-UA"/>
        </w:rPr>
      </w:pPr>
      <w:r>
        <w:rPr>
          <w:rFonts w:cs="Times New Roman" w:ascii="Times New Roman" w:hAnsi="Times New Roman"/>
          <w:b/>
          <w:sz w:val="26"/>
          <w:szCs w:val="26"/>
          <w:lang w:val="uk-UA"/>
        </w:rPr>
        <w:t>погодження та контролю виконання</w:t>
      </w:r>
    </w:p>
    <w:p>
      <w:pPr>
        <w:pStyle w:val="Normal"/>
        <w:spacing w:lineRule="auto" w:line="240" w:before="0" w:after="0"/>
        <w:rPr>
          <w:rFonts w:ascii="Times New Roman" w:hAnsi="Times New Roman" w:cs="Times New Roman"/>
          <w:b/>
          <w:b/>
          <w:sz w:val="26"/>
          <w:szCs w:val="26"/>
          <w:lang w:val="uk-UA"/>
        </w:rPr>
      </w:pPr>
      <w:r>
        <w:rPr>
          <w:rFonts w:cs="Times New Roman" w:ascii="Times New Roman" w:hAnsi="Times New Roman"/>
          <w:b/>
          <w:sz w:val="26"/>
          <w:szCs w:val="26"/>
          <w:lang w:val="uk-UA"/>
        </w:rPr>
        <w:t xml:space="preserve">фiнансових планiв комунальних  </w:t>
      </w:r>
    </w:p>
    <w:p>
      <w:pPr>
        <w:pStyle w:val="Normal"/>
        <w:spacing w:lineRule="auto" w:line="240" w:before="0" w:after="0"/>
        <w:rPr>
          <w:rFonts w:ascii="Times New Roman" w:hAnsi="Times New Roman" w:cs="Times New Roman"/>
          <w:b/>
          <w:b/>
          <w:sz w:val="26"/>
          <w:szCs w:val="26"/>
          <w:lang w:val="uk-UA"/>
        </w:rPr>
      </w:pPr>
      <w:r>
        <w:rPr>
          <w:rFonts w:cs="Times New Roman" w:ascii="Times New Roman" w:hAnsi="Times New Roman"/>
          <w:b/>
          <w:sz w:val="26"/>
          <w:szCs w:val="26"/>
          <w:lang w:val="uk-UA"/>
        </w:rPr>
        <w:t xml:space="preserve">пiдприємств Червоноградської мiської ради </w:t>
      </w:r>
    </w:p>
    <w:p>
      <w:pPr>
        <w:pStyle w:val="Normal"/>
        <w:spacing w:lineRule="auto" w:line="240" w:before="280" w:after="280"/>
        <w:ind w:left="0" w:right="0" w:firstLine="708"/>
        <w:jc w:val="both"/>
        <w:rPr/>
      </w:pPr>
      <w:r>
        <w:rPr>
          <w:rFonts w:cs="Times New Roman" w:ascii="Times New Roman" w:hAnsi="Times New Roman"/>
          <w:color w:val="000000"/>
          <w:sz w:val="26"/>
          <w:szCs w:val="26"/>
          <w:highlight w:val="white"/>
          <w:lang w:val="uk-UA"/>
        </w:rPr>
        <w:t xml:space="preserve">З метою розроблення нової методологiї фiнансового планування суб’єктами господарювання – комунальними пiдприємствами Червоноградської мiської ради, враховуючи рiшення Виконавчого комiтету Червоноградської мiської ради вiд  30.11.2016  № 226 «Про створення робочої групи з питань проведення аналiзу фiнансово-господарської дiяльностi пiдприємств комунальної власностi»,  </w:t>
      </w:r>
      <w:r>
        <w:rPr>
          <w:rFonts w:cs="Times New Roman" w:ascii="Times New Roman" w:hAnsi="Times New Roman"/>
          <w:sz w:val="26"/>
          <w:szCs w:val="26"/>
          <w:lang w:val="uk-UA"/>
        </w:rPr>
        <w:t xml:space="preserve">керуючись ст. 26, ст. 60 Закону України </w:t>
      </w:r>
      <w:r>
        <w:rPr>
          <w:rFonts w:cs="Times New Roman" w:ascii="Times New Roman" w:hAnsi="Times New Roman"/>
          <w:color w:val="000000"/>
          <w:sz w:val="26"/>
          <w:szCs w:val="26"/>
          <w:lang w:val="uk-UA"/>
        </w:rPr>
        <w:t>"Про м</w:t>
      </w:r>
      <w:r>
        <w:rPr>
          <w:rFonts w:cs="Times New Roman" w:ascii="Times New Roman" w:hAnsi="Times New Roman"/>
          <w:color w:val="000000"/>
          <w:sz w:val="26"/>
          <w:szCs w:val="26"/>
        </w:rPr>
        <w:t>i</w:t>
      </w:r>
      <w:r>
        <w:rPr>
          <w:rFonts w:cs="Times New Roman" w:ascii="Times New Roman" w:hAnsi="Times New Roman"/>
          <w:color w:val="000000"/>
          <w:sz w:val="26"/>
          <w:szCs w:val="26"/>
          <w:lang w:val="uk-UA"/>
        </w:rPr>
        <w:t>сцеве самоврядування в Україн</w:t>
      </w:r>
      <w:r>
        <w:rPr>
          <w:rFonts w:cs="Times New Roman" w:ascii="Times New Roman" w:hAnsi="Times New Roman"/>
          <w:color w:val="000000"/>
          <w:sz w:val="26"/>
          <w:szCs w:val="26"/>
        </w:rPr>
        <w:t>i</w:t>
      </w:r>
      <w:r>
        <w:rPr>
          <w:rFonts w:cs="Times New Roman" w:ascii="Times New Roman" w:hAnsi="Times New Roman"/>
          <w:color w:val="000000"/>
          <w:sz w:val="26"/>
          <w:szCs w:val="26"/>
          <w:lang w:val="uk-UA"/>
        </w:rPr>
        <w:t xml:space="preserve">", </w:t>
      </w:r>
      <w:r>
        <w:rPr>
          <w:rFonts w:cs="Times New Roman" w:ascii="Times New Roman" w:hAnsi="Times New Roman"/>
          <w:sz w:val="26"/>
          <w:szCs w:val="26"/>
          <w:lang w:val="uk-UA"/>
        </w:rPr>
        <w:t xml:space="preserve">Червоноградська мiська рада, </w:t>
      </w:r>
    </w:p>
    <w:p>
      <w:pPr>
        <w:pStyle w:val="21"/>
        <w:jc w:val="left"/>
        <w:rPr/>
      </w:pPr>
      <w:r>
        <w:rPr/>
        <w:t>ВИРIШИЛА:</w:t>
      </w:r>
    </w:p>
    <w:p>
      <w:pPr>
        <w:pStyle w:val="21"/>
        <w:rPr/>
      </w:pPr>
      <w:r>
        <w:rPr/>
      </w:r>
    </w:p>
    <w:p>
      <w:pPr>
        <w:pStyle w:val="Style21"/>
        <w:numPr>
          <w:ilvl w:val="0"/>
          <w:numId w:val="3"/>
        </w:numPr>
        <w:tabs>
          <w:tab w:val="left" w:pos="284" w:leader="none"/>
        </w:tabs>
        <w:ind w:left="0" w:right="0" w:hanging="0"/>
        <w:jc w:val="both"/>
        <w:rPr>
          <w:sz w:val="26"/>
          <w:szCs w:val="26"/>
        </w:rPr>
      </w:pPr>
      <w:r>
        <w:rPr>
          <w:sz w:val="26"/>
          <w:szCs w:val="26"/>
        </w:rPr>
        <w:t xml:space="preserve"> </w:t>
      </w:r>
      <w:r>
        <w:rPr>
          <w:sz w:val="26"/>
          <w:szCs w:val="26"/>
        </w:rPr>
        <w:t>Затвердити Порядок складання, погодження та контролю виконання фiнансових планiв комунальних пiдприємств Червоноградської мiської ради, що додається.</w:t>
      </w:r>
    </w:p>
    <w:p>
      <w:pPr>
        <w:pStyle w:val="Style21"/>
        <w:tabs>
          <w:tab w:val="left" w:pos="284" w:leader="none"/>
        </w:tabs>
        <w:jc w:val="both"/>
        <w:rPr>
          <w:sz w:val="26"/>
          <w:szCs w:val="26"/>
        </w:rPr>
      </w:pPr>
      <w:r>
        <w:rPr>
          <w:sz w:val="26"/>
          <w:szCs w:val="26"/>
        </w:rPr>
      </w:r>
    </w:p>
    <w:p>
      <w:pPr>
        <w:pStyle w:val="Style21"/>
        <w:numPr>
          <w:ilvl w:val="0"/>
          <w:numId w:val="3"/>
        </w:numPr>
        <w:tabs>
          <w:tab w:val="left" w:pos="284" w:leader="none"/>
        </w:tabs>
        <w:ind w:left="0" w:right="0" w:hanging="0"/>
        <w:jc w:val="both"/>
        <w:rPr>
          <w:sz w:val="26"/>
          <w:szCs w:val="26"/>
        </w:rPr>
      </w:pPr>
      <w:r>
        <w:rPr>
          <w:sz w:val="26"/>
          <w:szCs w:val="26"/>
        </w:rPr>
        <w:t xml:space="preserve">Керiвникам комунальних пiдприємств Червоноградської мiської ради  до                   15 лютого 2019 року подати у Виконавчий комiтет Червоноградської мiської ради проект фiнансового плану пiдприємства. </w:t>
      </w:r>
    </w:p>
    <w:p>
      <w:pPr>
        <w:pStyle w:val="Style21"/>
        <w:tabs>
          <w:tab w:val="left" w:pos="284" w:leader="none"/>
        </w:tabs>
        <w:jc w:val="both"/>
        <w:rPr>
          <w:sz w:val="26"/>
          <w:szCs w:val="26"/>
        </w:rPr>
      </w:pPr>
      <w:r>
        <w:rPr>
          <w:sz w:val="26"/>
          <w:szCs w:val="26"/>
        </w:rPr>
      </w:r>
    </w:p>
    <w:p>
      <w:pPr>
        <w:pStyle w:val="Style21"/>
        <w:numPr>
          <w:ilvl w:val="0"/>
          <w:numId w:val="3"/>
        </w:numPr>
        <w:tabs>
          <w:tab w:val="left" w:pos="284" w:leader="none"/>
        </w:tabs>
        <w:ind w:left="0" w:right="0" w:hanging="0"/>
        <w:jc w:val="both"/>
        <w:rPr>
          <w:sz w:val="26"/>
          <w:szCs w:val="26"/>
        </w:rPr>
      </w:pPr>
      <w:r>
        <w:rPr>
          <w:sz w:val="26"/>
          <w:szCs w:val="26"/>
        </w:rPr>
        <w:t>Рiшення Червоноградської мiської ради вiд 19.07.2018 № 951 «Про  затвердження Порядку складання, затвердження та контролю виконання фiнансових планiв комунальних пiдприємств Червоноградської мiської ради» вважати таким, що втратило чиннiсть.</w:t>
      </w:r>
    </w:p>
    <w:p>
      <w:pPr>
        <w:pStyle w:val="Style21"/>
        <w:tabs>
          <w:tab w:val="left" w:pos="284" w:leader="none"/>
        </w:tabs>
        <w:jc w:val="both"/>
        <w:rPr>
          <w:sz w:val="26"/>
          <w:szCs w:val="26"/>
        </w:rPr>
      </w:pPr>
      <w:r>
        <w:rPr>
          <w:sz w:val="26"/>
          <w:szCs w:val="26"/>
        </w:rPr>
      </w:r>
    </w:p>
    <w:p>
      <w:pPr>
        <w:pStyle w:val="Style21"/>
        <w:numPr>
          <w:ilvl w:val="0"/>
          <w:numId w:val="3"/>
        </w:numPr>
        <w:tabs>
          <w:tab w:val="left" w:pos="284" w:leader="none"/>
        </w:tabs>
        <w:ind w:left="0" w:right="0" w:hanging="0"/>
        <w:jc w:val="both"/>
        <w:rPr>
          <w:sz w:val="26"/>
          <w:szCs w:val="26"/>
        </w:rPr>
      </w:pPr>
      <w:r>
        <w:rPr>
          <w:sz w:val="26"/>
          <w:szCs w:val="26"/>
        </w:rPr>
        <w:t xml:space="preserve"> </w:t>
      </w:r>
      <w:r>
        <w:rPr>
          <w:sz w:val="26"/>
          <w:szCs w:val="26"/>
        </w:rPr>
        <w:t>Контроль за виконанням рiшення покласти на постiйну комiсiю з питань бюджету (Фартушок Д.I.), першого заступника мiського голови з питань дiяльностi виконавчих органiв ради Балка Д.I..</w:t>
      </w:r>
    </w:p>
    <w:p>
      <w:pPr>
        <w:pStyle w:val="Style21"/>
        <w:jc w:val="both"/>
        <w:rPr>
          <w:sz w:val="26"/>
          <w:szCs w:val="26"/>
        </w:rPr>
      </w:pPr>
      <w:r>
        <w:rPr>
          <w:sz w:val="26"/>
          <w:szCs w:val="26"/>
        </w:rPr>
      </w:r>
    </w:p>
    <w:p>
      <w:pPr>
        <w:pStyle w:val="Style21"/>
        <w:jc w:val="both"/>
        <w:rPr>
          <w:sz w:val="26"/>
          <w:szCs w:val="26"/>
        </w:rPr>
      </w:pPr>
      <w:r>
        <w:rPr>
          <w:sz w:val="26"/>
          <w:szCs w:val="26"/>
        </w:rPr>
        <mc:AlternateContent>
          <mc:Choice Requires="wps">
            <w:drawing>
              <wp:anchor behindDoc="0" distT="0" distB="0" distL="0" distR="114300" simplePos="0" locked="0" layoutInCell="1" allowOverlap="1" relativeHeight="2">
                <wp:simplePos x="0" y="0"/>
                <wp:positionH relativeFrom="margin">
                  <wp:align>left</wp:align>
                </wp:positionH>
                <wp:positionV relativeFrom="paragraph">
                  <wp:posOffset>60325</wp:posOffset>
                </wp:positionV>
                <wp:extent cx="6043930" cy="661670"/>
                <wp:effectExtent l="0" t="0" r="0" b="0"/>
                <wp:wrapSquare wrapText="bothSides"/>
                <wp:docPr id="2" name="Врезка1"/>
                <a:graphic xmlns:a="http://schemas.openxmlformats.org/drawingml/2006/main">
                  <a:graphicData uri="http://schemas.microsoft.com/office/word/2010/wordprocessingShape">
                    <wps:wsp>
                      <wps:cNvSpPr/>
                      <wps:spPr>
                        <a:xfrm>
                          <a:off x="0" y="0"/>
                          <a:ext cx="6043320" cy="660960"/>
                        </a:xfrm>
                        <a:prstGeom prst="rect">
                          <a:avLst/>
                        </a:prstGeom>
                        <a:noFill/>
                        <a:ln>
                          <a:noFill/>
                        </a:ln>
                      </wps:spPr>
                      <wps:style>
                        <a:lnRef idx="0"/>
                        <a:fillRef idx="0"/>
                        <a:effectRef idx="0"/>
                        <a:fontRef idx="minor"/>
                      </wps:style>
                      <wps:txbx>
                        <w:txbxContent>
                          <w:tbl>
                            <w:tblPr>
                              <w:tblW w:w="5000" w:type="pct"/>
                              <w:jc w:val="left"/>
                              <w:tblInd w:w="0" w:type="dxa"/>
                              <w:tblBorders/>
                              <w:tblCellMar>
                                <w:top w:w="0" w:type="dxa"/>
                                <w:left w:w="0" w:type="dxa"/>
                                <w:bottom w:w="0" w:type="dxa"/>
                                <w:right w:w="0" w:type="dxa"/>
                              </w:tblCellMar>
                            </w:tblPr>
                            <w:tblGrid>
                              <w:gridCol w:w="3689"/>
                              <w:gridCol w:w="3714"/>
                              <w:gridCol w:w="2"/>
                              <w:gridCol w:w="2113"/>
                            </w:tblGrid>
                            <w:tr>
                              <w:trPr/>
                              <w:tc>
                                <w:tcPr>
                                  <w:tcW w:w="7403" w:type="dxa"/>
                                  <w:gridSpan w:val="2"/>
                                  <w:tcBorders/>
                                  <w:shd w:fill="auto" w:val="clear"/>
                                </w:tcPr>
                                <w:p>
                                  <w:pPr>
                                    <w:pStyle w:val="Normal"/>
                                    <w:snapToGrid w:val="false"/>
                                    <w:spacing w:before="0" w:after="200"/>
                                    <w:rPr>
                                      <w:color w:val="auto"/>
                                      <w:lang w:val="uk-UA"/>
                                    </w:rPr>
                                  </w:pPr>
                                  <w:r>
                                    <w:rPr>
                                      <w:color w:val="auto"/>
                                      <w:lang w:val="uk-UA"/>
                                    </w:rPr>
                                  </w:r>
                                </w:p>
                              </w:tc>
                              <w:tc>
                                <w:tcPr>
                                  <w:tcW w:w="2115" w:type="dxa"/>
                                  <w:gridSpan w:val="2"/>
                                  <w:tcBorders/>
                                  <w:shd w:fill="auto" w:val="clear"/>
                                </w:tcPr>
                                <w:p>
                                  <w:pPr>
                                    <w:pStyle w:val="Normal"/>
                                    <w:snapToGrid w:val="false"/>
                                    <w:spacing w:before="0" w:after="200"/>
                                    <w:rPr>
                                      <w:color w:val="auto"/>
                                      <w:lang w:val="uk-UA"/>
                                    </w:rPr>
                                  </w:pPr>
                                  <w:r>
                                    <w:rPr>
                                      <w:color w:val="auto"/>
                                      <w:lang w:val="uk-UA"/>
                                    </w:rPr>
                                  </w:r>
                                </w:p>
                              </w:tc>
                            </w:tr>
                            <w:tr>
                              <w:trPr>
                                <w:trHeight w:val="552" w:hRule="atLeast"/>
                              </w:trPr>
                              <w:tc>
                                <w:tcPr>
                                  <w:tcW w:w="3689" w:type="dxa"/>
                                  <w:tcBorders/>
                                  <w:shd w:fill="auto" w:val="clear"/>
                                  <w:tcMar>
                                    <w:left w:w="108" w:type="dxa"/>
                                    <w:right w:w="108" w:type="dxa"/>
                                  </w:tcMar>
                                </w:tcPr>
                                <w:p>
                                  <w:pPr>
                                    <w:pStyle w:val="Normal"/>
                                    <w:spacing w:lineRule="auto" w:line="240" w:before="0" w:after="0"/>
                                    <w:rPr/>
                                  </w:pPr>
                                  <w:r>
                                    <w:rPr>
                                      <w:rFonts w:cs="Times New Roman" w:ascii="Times New Roman" w:hAnsi="Times New Roman"/>
                                      <w:color w:val="auto"/>
                                      <w:sz w:val="26"/>
                                      <w:szCs w:val="26"/>
                                      <w:lang w:val="uk-UA"/>
                                    </w:rPr>
                                    <w:t>Мiський голова</w:t>
                                  </w:r>
                                  <w:r>
                                    <w:rPr>
                                      <w:rFonts w:cs="Times New Roman" w:ascii="Times New Roman" w:hAnsi="Times New Roman"/>
                                      <w:color w:val="auto"/>
                                      <w:sz w:val="26"/>
                                      <w:szCs w:val="26"/>
                                    </w:rPr>
                                    <w:t> </w:t>
                                  </w:r>
                                </w:p>
                              </w:tc>
                              <w:tc>
                                <w:tcPr>
                                  <w:tcW w:w="3716" w:type="dxa"/>
                                  <w:gridSpan w:val="2"/>
                                  <w:tcBorders/>
                                  <w:shd w:fill="auto" w:val="clear"/>
                                  <w:tcMar>
                                    <w:left w:w="108" w:type="dxa"/>
                                    <w:right w:w="108" w:type="dxa"/>
                                  </w:tcMar>
                                </w:tcPr>
                                <w:p>
                                  <w:pPr>
                                    <w:pStyle w:val="Normal"/>
                                    <w:spacing w:lineRule="auto" w:line="240" w:before="0" w:after="0"/>
                                    <w:rPr>
                                      <w:rFonts w:ascii="Times New Roman" w:hAnsi="Times New Roman" w:cs="Times New Roman"/>
                                      <w:i/>
                                      <w:i/>
                                      <w:color w:val="auto"/>
                                      <w:sz w:val="26"/>
                                      <w:szCs w:val="26"/>
                                      <w:lang w:val="uk-UA"/>
                                    </w:rPr>
                                  </w:pPr>
                                  <w:r>
                                    <w:rPr>
                                      <w:rFonts w:cs="Times New Roman" w:ascii="Times New Roman" w:hAnsi="Times New Roman"/>
                                      <w:i/>
                                      <w:color w:val="auto"/>
                                      <w:sz w:val="26"/>
                                      <w:szCs w:val="26"/>
                                      <w:lang w:val="uk-UA"/>
                                    </w:rPr>
                                    <w:t>(пiдпис)</w:t>
                                  </w:r>
                                </w:p>
                              </w:tc>
                              <w:tc>
                                <w:tcPr>
                                  <w:tcW w:w="2113" w:type="dxa"/>
                                  <w:tcBorders/>
                                  <w:shd w:fill="auto" w:val="clear"/>
                                  <w:tcMar>
                                    <w:left w:w="108" w:type="dxa"/>
                                    <w:right w:w="108" w:type="dxa"/>
                                  </w:tcMar>
                                </w:tcPr>
                                <w:p>
                                  <w:pPr>
                                    <w:pStyle w:val="Normal"/>
                                    <w:spacing w:lineRule="auto" w:line="240" w:before="0" w:after="0"/>
                                    <w:rPr>
                                      <w:rFonts w:ascii="Times New Roman" w:hAnsi="Times New Roman" w:cs="Times New Roman"/>
                                      <w:color w:val="auto"/>
                                      <w:sz w:val="26"/>
                                      <w:szCs w:val="26"/>
                                      <w:lang w:val="uk-UA"/>
                                    </w:rPr>
                                  </w:pPr>
                                  <w:r>
                                    <w:rPr>
                                      <w:rFonts w:cs="Times New Roman" w:ascii="Times New Roman" w:hAnsi="Times New Roman"/>
                                      <w:color w:val="auto"/>
                                      <w:sz w:val="26"/>
                                      <w:szCs w:val="26"/>
                                      <w:lang w:val="uk-UA"/>
                                    </w:rPr>
                                    <w:t>А.ЗАЛIВСЬКИЙ</w:t>
                                  </w:r>
                                </w:p>
                              </w:tc>
                            </w:tr>
                          </w:tbl>
                          <w:p>
                            <w:pPr>
                              <w:pStyle w:val="Style31"/>
                              <w:spacing w:before="0" w:after="200"/>
                              <w:rPr/>
                            </w:pPr>
                            <w:r>
                              <w:rPr/>
                            </w:r>
                          </w:p>
                        </w:txbxContent>
                      </wps:txbx>
                      <wps:bodyPr lIns="0" rIns="0" tIns="0" bIns="0">
                        <a:noAutofit/>
                      </wps:bodyPr>
                    </wps:wsp>
                  </a:graphicData>
                </a:graphic>
              </wp:anchor>
            </w:drawing>
          </mc:Choice>
          <mc:Fallback>
            <w:pict>
              <v:rect id="shape_0" ID="Врезка1" stroked="f" style="position:absolute;margin-left:0pt;margin-top:4.75pt;width:475.8pt;height:52pt;mso-position-horizontal:left;mso-position-horizontal-relative:margin">
                <w10:wrap type="none"/>
                <v:fill o:detectmouseclick="t" on="false"/>
                <v:stroke color="#3465a4" joinstyle="round" endcap="flat"/>
                <v:textbox>
                  <w:txbxContent>
                    <w:tbl>
                      <w:tblPr>
                        <w:tblW w:w="5000" w:type="pct"/>
                        <w:jc w:val="left"/>
                        <w:tblInd w:w="0" w:type="dxa"/>
                        <w:tblBorders/>
                        <w:tblCellMar>
                          <w:top w:w="0" w:type="dxa"/>
                          <w:left w:w="0" w:type="dxa"/>
                          <w:bottom w:w="0" w:type="dxa"/>
                          <w:right w:w="0" w:type="dxa"/>
                        </w:tblCellMar>
                      </w:tblPr>
                      <w:tblGrid>
                        <w:gridCol w:w="3689"/>
                        <w:gridCol w:w="3714"/>
                        <w:gridCol w:w="2"/>
                        <w:gridCol w:w="2113"/>
                      </w:tblGrid>
                      <w:tr>
                        <w:trPr/>
                        <w:tc>
                          <w:tcPr>
                            <w:tcW w:w="7403" w:type="dxa"/>
                            <w:gridSpan w:val="2"/>
                            <w:tcBorders/>
                            <w:shd w:fill="auto" w:val="clear"/>
                          </w:tcPr>
                          <w:p>
                            <w:pPr>
                              <w:pStyle w:val="Normal"/>
                              <w:snapToGrid w:val="false"/>
                              <w:spacing w:before="0" w:after="200"/>
                              <w:rPr>
                                <w:color w:val="auto"/>
                                <w:lang w:val="uk-UA"/>
                              </w:rPr>
                            </w:pPr>
                            <w:r>
                              <w:rPr>
                                <w:color w:val="auto"/>
                                <w:lang w:val="uk-UA"/>
                              </w:rPr>
                            </w:r>
                          </w:p>
                        </w:tc>
                        <w:tc>
                          <w:tcPr>
                            <w:tcW w:w="2115" w:type="dxa"/>
                            <w:gridSpan w:val="2"/>
                            <w:tcBorders/>
                            <w:shd w:fill="auto" w:val="clear"/>
                          </w:tcPr>
                          <w:p>
                            <w:pPr>
                              <w:pStyle w:val="Normal"/>
                              <w:snapToGrid w:val="false"/>
                              <w:spacing w:before="0" w:after="200"/>
                              <w:rPr>
                                <w:color w:val="auto"/>
                                <w:lang w:val="uk-UA"/>
                              </w:rPr>
                            </w:pPr>
                            <w:r>
                              <w:rPr>
                                <w:color w:val="auto"/>
                                <w:lang w:val="uk-UA"/>
                              </w:rPr>
                            </w:r>
                          </w:p>
                        </w:tc>
                      </w:tr>
                      <w:tr>
                        <w:trPr>
                          <w:trHeight w:val="552" w:hRule="atLeast"/>
                        </w:trPr>
                        <w:tc>
                          <w:tcPr>
                            <w:tcW w:w="3689" w:type="dxa"/>
                            <w:tcBorders/>
                            <w:shd w:fill="auto" w:val="clear"/>
                            <w:tcMar>
                              <w:left w:w="108" w:type="dxa"/>
                              <w:right w:w="108" w:type="dxa"/>
                            </w:tcMar>
                          </w:tcPr>
                          <w:p>
                            <w:pPr>
                              <w:pStyle w:val="Normal"/>
                              <w:spacing w:lineRule="auto" w:line="240" w:before="0" w:after="0"/>
                              <w:rPr/>
                            </w:pPr>
                            <w:r>
                              <w:rPr>
                                <w:rFonts w:cs="Times New Roman" w:ascii="Times New Roman" w:hAnsi="Times New Roman"/>
                                <w:color w:val="auto"/>
                                <w:sz w:val="26"/>
                                <w:szCs w:val="26"/>
                                <w:lang w:val="uk-UA"/>
                              </w:rPr>
                              <w:t>Мiський голова</w:t>
                            </w:r>
                            <w:r>
                              <w:rPr>
                                <w:rFonts w:cs="Times New Roman" w:ascii="Times New Roman" w:hAnsi="Times New Roman"/>
                                <w:color w:val="auto"/>
                                <w:sz w:val="26"/>
                                <w:szCs w:val="26"/>
                              </w:rPr>
                              <w:t> </w:t>
                            </w:r>
                          </w:p>
                        </w:tc>
                        <w:tc>
                          <w:tcPr>
                            <w:tcW w:w="3716" w:type="dxa"/>
                            <w:gridSpan w:val="2"/>
                            <w:tcBorders/>
                            <w:shd w:fill="auto" w:val="clear"/>
                            <w:tcMar>
                              <w:left w:w="108" w:type="dxa"/>
                              <w:right w:w="108" w:type="dxa"/>
                            </w:tcMar>
                          </w:tcPr>
                          <w:p>
                            <w:pPr>
                              <w:pStyle w:val="Normal"/>
                              <w:spacing w:lineRule="auto" w:line="240" w:before="0" w:after="0"/>
                              <w:rPr>
                                <w:rFonts w:ascii="Times New Roman" w:hAnsi="Times New Roman" w:cs="Times New Roman"/>
                                <w:i/>
                                <w:i/>
                                <w:color w:val="auto"/>
                                <w:sz w:val="26"/>
                                <w:szCs w:val="26"/>
                                <w:lang w:val="uk-UA"/>
                              </w:rPr>
                            </w:pPr>
                            <w:r>
                              <w:rPr>
                                <w:rFonts w:cs="Times New Roman" w:ascii="Times New Roman" w:hAnsi="Times New Roman"/>
                                <w:i/>
                                <w:color w:val="auto"/>
                                <w:sz w:val="26"/>
                                <w:szCs w:val="26"/>
                                <w:lang w:val="uk-UA"/>
                              </w:rPr>
                              <w:t>(пiдпис)</w:t>
                            </w:r>
                          </w:p>
                        </w:tc>
                        <w:tc>
                          <w:tcPr>
                            <w:tcW w:w="2113" w:type="dxa"/>
                            <w:tcBorders/>
                            <w:shd w:fill="auto" w:val="clear"/>
                            <w:tcMar>
                              <w:left w:w="108" w:type="dxa"/>
                              <w:right w:w="108" w:type="dxa"/>
                            </w:tcMar>
                          </w:tcPr>
                          <w:p>
                            <w:pPr>
                              <w:pStyle w:val="Normal"/>
                              <w:spacing w:lineRule="auto" w:line="240" w:before="0" w:after="0"/>
                              <w:rPr>
                                <w:rFonts w:ascii="Times New Roman" w:hAnsi="Times New Roman" w:cs="Times New Roman"/>
                                <w:color w:val="auto"/>
                                <w:sz w:val="26"/>
                                <w:szCs w:val="26"/>
                                <w:lang w:val="uk-UA"/>
                              </w:rPr>
                            </w:pPr>
                            <w:r>
                              <w:rPr>
                                <w:rFonts w:cs="Times New Roman" w:ascii="Times New Roman" w:hAnsi="Times New Roman"/>
                                <w:color w:val="auto"/>
                                <w:sz w:val="26"/>
                                <w:szCs w:val="26"/>
                                <w:lang w:val="uk-UA"/>
                              </w:rPr>
                              <w:t>А.ЗАЛIВСЬКИЙ</w:t>
                            </w:r>
                          </w:p>
                        </w:tc>
                      </w:tr>
                    </w:tbl>
                    <w:p>
                      <w:pPr>
                        <w:pStyle w:val="Style31"/>
                        <w:spacing w:before="0" w:after="200"/>
                        <w:rPr/>
                      </w:pPr>
                      <w:r>
                        <w:rPr/>
                      </w:r>
                    </w:p>
                  </w:txbxContent>
                </v:textbox>
              </v:rect>
            </w:pict>
          </mc:Fallback>
        </mc:AlternateContent>
      </w:r>
    </w:p>
    <w:p>
      <w:pPr>
        <w:pStyle w:val="Style21"/>
        <w:ind w:left="360" w:right="0" w:hanging="0"/>
        <w:jc w:val="both"/>
        <w:rPr>
          <w:sz w:val="26"/>
          <w:szCs w:val="26"/>
        </w:rPr>
      </w:pPr>
      <w:r>
        <w:rPr>
          <w:sz w:val="26"/>
          <w:szCs w:val="26"/>
        </w:rPr>
      </w:r>
    </w:p>
    <w:p>
      <w:pPr>
        <w:pStyle w:val="Style21"/>
        <w:ind w:left="360" w:right="0" w:hanging="0"/>
        <w:jc w:val="both"/>
        <w:rPr>
          <w:sz w:val="26"/>
          <w:szCs w:val="26"/>
        </w:rPr>
      </w:pPr>
      <w:r>
        <w:rPr>
          <w:sz w:val="26"/>
          <w:szCs w:val="26"/>
        </w:rPr>
      </w:r>
    </w:p>
    <w:p>
      <w:pPr>
        <w:pStyle w:val="Style21"/>
        <w:ind w:left="360" w:right="0" w:hanging="0"/>
        <w:jc w:val="both"/>
        <w:rPr>
          <w:sz w:val="26"/>
          <w:szCs w:val="26"/>
        </w:rPr>
      </w:pPr>
      <w:r>
        <w:rPr>
          <w:sz w:val="26"/>
          <w:szCs w:val="26"/>
        </w:rPr>
      </w:r>
    </w:p>
    <w:p>
      <w:pPr>
        <w:pStyle w:val="Style21"/>
        <w:ind w:left="360" w:right="0" w:hanging="0"/>
        <w:jc w:val="both"/>
        <w:rPr>
          <w:sz w:val="26"/>
          <w:szCs w:val="26"/>
        </w:rPr>
      </w:pPr>
      <w:r>
        <w:rPr>
          <w:sz w:val="26"/>
          <w:szCs w:val="26"/>
        </w:rPr>
      </w:r>
    </w:p>
    <w:p>
      <w:pPr>
        <w:pStyle w:val="Normal"/>
        <w:spacing w:lineRule="auto" w:line="240" w:before="0" w:after="0"/>
        <w:ind w:left="5387" w:right="0" w:hanging="0"/>
        <w:rPr>
          <w:rFonts w:ascii="Times New Roman" w:hAnsi="Times New Roman" w:cs="Times New Roman"/>
          <w:sz w:val="26"/>
          <w:szCs w:val="26"/>
          <w:lang w:val="uk-UA"/>
        </w:rPr>
      </w:pPr>
      <w:r>
        <w:rPr>
          <w:rFonts w:cs="Times New Roman" w:ascii="Times New Roman" w:hAnsi="Times New Roman"/>
          <w:sz w:val="26"/>
          <w:szCs w:val="26"/>
          <w:lang w:val="uk-UA"/>
        </w:rPr>
        <w:t>ЗАТВЕРДЖЕНО:</w:t>
      </w:r>
    </w:p>
    <w:p>
      <w:pPr>
        <w:pStyle w:val="Normal"/>
        <w:spacing w:lineRule="auto" w:line="240" w:before="0" w:after="0"/>
        <w:ind w:left="5387" w:right="0" w:hanging="0"/>
        <w:rPr/>
      </w:pPr>
      <w:r>
        <w:rPr>
          <w:rFonts w:cs="Times New Roman" w:ascii="Times New Roman" w:hAnsi="Times New Roman"/>
          <w:sz w:val="26"/>
          <w:szCs w:val="26"/>
        </w:rPr>
        <w:t>рiшення</w:t>
      </w:r>
      <w:r>
        <w:rPr>
          <w:rFonts w:cs="Times New Roman" w:ascii="Times New Roman" w:hAnsi="Times New Roman"/>
          <w:sz w:val="26"/>
          <w:szCs w:val="26"/>
          <w:lang w:val="uk-UA"/>
        </w:rPr>
        <w:t xml:space="preserve">м </w:t>
      </w:r>
    </w:p>
    <w:p>
      <w:pPr>
        <w:pStyle w:val="Normal"/>
        <w:spacing w:lineRule="auto" w:line="240" w:before="0" w:after="0"/>
        <w:ind w:left="5387" w:right="0" w:hanging="0"/>
        <w:rPr/>
      </w:pPr>
      <w:r>
        <w:rPr>
          <w:rFonts w:cs="Times New Roman" w:ascii="Times New Roman" w:hAnsi="Times New Roman"/>
          <w:sz w:val="26"/>
          <w:szCs w:val="26"/>
          <w:lang w:val="uk-UA"/>
        </w:rPr>
        <w:t xml:space="preserve">Червоноградської </w:t>
      </w:r>
      <w:r>
        <w:rPr>
          <w:rFonts w:cs="Times New Roman" w:ascii="Times New Roman" w:hAnsi="Times New Roman"/>
          <w:sz w:val="26"/>
          <w:szCs w:val="26"/>
        </w:rPr>
        <w:t>мiської ради</w:t>
      </w:r>
    </w:p>
    <w:p>
      <w:pPr>
        <w:pStyle w:val="Normal"/>
        <w:tabs>
          <w:tab w:val="left" w:pos="6667" w:leader="none"/>
          <w:tab w:val="left" w:pos="7559" w:leader="none"/>
        </w:tabs>
        <w:spacing w:lineRule="auto" w:line="240" w:before="0" w:after="0"/>
        <w:ind w:left="5387" w:right="0" w:hanging="0"/>
        <w:rPr/>
      </w:pPr>
      <w:r>
        <w:rPr>
          <w:rFonts w:cs="Times New Roman" w:ascii="Times New Roman" w:hAnsi="Times New Roman"/>
          <w:sz w:val="26"/>
          <w:szCs w:val="26"/>
        </w:rPr>
        <w:t>вiд</w:t>
      </w:r>
      <w:r>
        <w:rPr>
          <w:rFonts w:cs="Times New Roman" w:ascii="Times New Roman" w:hAnsi="Times New Roman"/>
          <w:sz w:val="26"/>
          <w:szCs w:val="26"/>
          <w:lang w:val="uk-UA"/>
        </w:rPr>
        <w:t xml:space="preserve">  24.01.2019  </w:t>
      </w:r>
      <w:r>
        <w:rPr>
          <w:rFonts w:cs="Times New Roman" w:ascii="Times New Roman" w:hAnsi="Times New Roman"/>
          <w:sz w:val="26"/>
          <w:szCs w:val="26"/>
        </w:rPr>
        <w:t>№</w:t>
      </w:r>
      <w:r>
        <w:rPr>
          <w:rFonts w:cs="Times New Roman" w:ascii="Times New Roman" w:hAnsi="Times New Roman"/>
          <w:w w:val="99"/>
          <w:sz w:val="26"/>
          <w:szCs w:val="26"/>
          <w:lang w:val="uk-UA"/>
        </w:rPr>
        <w:t>1140</w:t>
      </w:r>
    </w:p>
    <w:p>
      <w:pPr>
        <w:pStyle w:val="Style22"/>
        <w:spacing w:before="0" w:after="0"/>
        <w:jc w:val="both"/>
        <w:rPr>
          <w:rFonts w:ascii="Times New Roman" w:hAnsi="Times New Roman" w:cs="Times New Roman"/>
          <w:sz w:val="26"/>
          <w:szCs w:val="26"/>
          <w:lang w:val="uk-UA"/>
        </w:rPr>
      </w:pPr>
      <w:r>
        <w:rPr>
          <w:rFonts w:cs="Times New Roman" w:ascii="Times New Roman" w:hAnsi="Times New Roman"/>
          <w:sz w:val="26"/>
          <w:szCs w:val="26"/>
          <w:lang w:val="uk-UA"/>
        </w:rPr>
      </w:r>
    </w:p>
    <w:p>
      <w:pPr>
        <w:pStyle w:val="Style22"/>
        <w:spacing w:before="0" w:after="0"/>
        <w:jc w:val="both"/>
        <w:rPr>
          <w:rFonts w:ascii="Times New Roman" w:hAnsi="Times New Roman" w:cs="Times New Roman"/>
          <w:sz w:val="26"/>
          <w:szCs w:val="26"/>
        </w:rPr>
      </w:pPr>
      <w:r>
        <w:rPr>
          <w:rFonts w:cs="Times New Roman" w:ascii="Times New Roman" w:hAnsi="Times New Roman"/>
          <w:sz w:val="26"/>
          <w:szCs w:val="26"/>
        </w:rPr>
      </w:r>
    </w:p>
    <w:p>
      <w:pPr>
        <w:pStyle w:val="1"/>
        <w:numPr>
          <w:ilvl w:val="0"/>
          <w:numId w:val="2"/>
        </w:numPr>
        <w:spacing w:before="90" w:after="0"/>
        <w:ind w:left="0" w:right="0" w:firstLine="561"/>
        <w:jc w:val="center"/>
        <w:rPr>
          <w:b/>
          <w:b/>
          <w:sz w:val="26"/>
          <w:szCs w:val="26"/>
        </w:rPr>
      </w:pPr>
      <w:r>
        <w:rPr>
          <w:b/>
          <w:sz w:val="26"/>
          <w:szCs w:val="26"/>
        </w:rPr>
        <w:t>ПОРЯДОК</w:t>
      </w:r>
    </w:p>
    <w:p>
      <w:pPr>
        <w:pStyle w:val="Normal"/>
        <w:spacing w:before="0" w:after="0"/>
        <w:ind w:left="221" w:right="225" w:hanging="0"/>
        <w:jc w:val="both"/>
        <w:rPr>
          <w:rFonts w:ascii="Times New Roman" w:hAnsi="Times New Roman" w:cs="Times New Roman"/>
          <w:b/>
          <w:b/>
          <w:sz w:val="26"/>
          <w:szCs w:val="26"/>
          <w:lang w:val="uk-UA"/>
        </w:rPr>
      </w:pPr>
      <w:r>
        <w:rPr>
          <w:rFonts w:cs="Times New Roman" w:ascii="Times New Roman" w:hAnsi="Times New Roman"/>
          <w:b/>
          <w:sz w:val="26"/>
          <w:szCs w:val="26"/>
          <w:lang w:val="uk-UA"/>
        </w:rPr>
        <w:t xml:space="preserve">складання, погодження та контролю виконання фiнансових планiв комунальних пiдприємств Червоноградської мiської ради </w:t>
      </w:r>
    </w:p>
    <w:p>
      <w:pPr>
        <w:pStyle w:val="Normal"/>
        <w:spacing w:before="0" w:after="0"/>
        <w:ind w:left="221" w:right="225" w:hanging="0"/>
        <w:jc w:val="both"/>
        <w:rPr>
          <w:rFonts w:ascii="Times New Roman" w:hAnsi="Times New Roman" w:cs="Times New Roman"/>
          <w:b/>
          <w:b/>
          <w:sz w:val="26"/>
          <w:szCs w:val="26"/>
          <w:lang w:val="uk-UA"/>
        </w:rPr>
      </w:pPr>
      <w:r>
        <w:rPr>
          <w:rFonts w:cs="Times New Roman" w:ascii="Times New Roman" w:hAnsi="Times New Roman"/>
          <w:b/>
          <w:sz w:val="26"/>
          <w:szCs w:val="26"/>
          <w:lang w:val="uk-UA"/>
        </w:rPr>
      </w:r>
    </w:p>
    <w:p>
      <w:pPr>
        <w:pStyle w:val="Style26"/>
        <w:widowControl w:val="false"/>
        <w:numPr>
          <w:ilvl w:val="0"/>
          <w:numId w:val="5"/>
        </w:numPr>
        <w:tabs>
          <w:tab w:val="left" w:pos="1000" w:leader="none"/>
        </w:tabs>
        <w:spacing w:lineRule="auto" w:line="240" w:before="1" w:after="0"/>
        <w:ind w:left="102" w:right="106" w:firstLine="566"/>
        <w:contextualSpacing/>
        <w:jc w:val="both"/>
        <w:rPr/>
      </w:pPr>
      <w:r>
        <w:rPr>
          <w:rFonts w:cs="Times New Roman" w:ascii="Times New Roman" w:hAnsi="Times New Roman"/>
          <w:sz w:val="26"/>
          <w:szCs w:val="26"/>
        </w:rPr>
        <w:t>Цей Порядок визначає процедуру складання, погодження та контролю виконання фiнансових планiв суб’єктiв господарської дiяльностi - комунальних пiдприємств засновником яких є Червоноградська мiська рада</w:t>
      </w:r>
      <w:r>
        <w:rPr>
          <w:rFonts w:cs="Times New Roman" w:ascii="Times New Roman" w:hAnsi="Times New Roman"/>
          <w:spacing w:val="-4"/>
          <w:sz w:val="26"/>
          <w:szCs w:val="26"/>
        </w:rPr>
        <w:t xml:space="preserve"> </w:t>
      </w:r>
      <w:r>
        <w:rPr>
          <w:rFonts w:cs="Times New Roman" w:ascii="Times New Roman" w:hAnsi="Times New Roman"/>
          <w:sz w:val="26"/>
          <w:szCs w:val="26"/>
        </w:rPr>
        <w:t>.</w:t>
      </w:r>
    </w:p>
    <w:p>
      <w:pPr>
        <w:pStyle w:val="Style22"/>
        <w:spacing w:before="4" w:after="0"/>
        <w:jc w:val="both"/>
        <w:rPr>
          <w:rFonts w:ascii="Times New Roman" w:hAnsi="Times New Roman" w:cs="Times New Roman"/>
          <w:sz w:val="26"/>
          <w:szCs w:val="26"/>
          <w:lang w:val="uk-UA"/>
        </w:rPr>
      </w:pPr>
      <w:r>
        <w:rPr>
          <w:rFonts w:cs="Times New Roman" w:ascii="Times New Roman" w:hAnsi="Times New Roman"/>
          <w:sz w:val="26"/>
          <w:szCs w:val="26"/>
          <w:lang w:val="uk-UA"/>
        </w:rPr>
      </w:r>
    </w:p>
    <w:p>
      <w:pPr>
        <w:pStyle w:val="Style26"/>
        <w:widowControl w:val="false"/>
        <w:numPr>
          <w:ilvl w:val="0"/>
          <w:numId w:val="5"/>
        </w:numPr>
        <w:tabs>
          <w:tab w:val="left" w:pos="959" w:leader="none"/>
        </w:tabs>
        <w:spacing w:lineRule="auto" w:line="240" w:before="1" w:after="0"/>
        <w:ind w:left="102" w:right="104" w:firstLine="566"/>
        <w:contextualSpacing/>
        <w:jc w:val="both"/>
        <w:rPr/>
      </w:pPr>
      <w:r>
        <w:rPr>
          <w:rFonts w:cs="Times New Roman" w:ascii="Times New Roman" w:hAnsi="Times New Roman"/>
          <w:sz w:val="26"/>
          <w:szCs w:val="26"/>
        </w:rPr>
        <w:t>Фiнансовий план пiдприємства складається за формою згiдно з додатком 1 на кожен наступний рiк з поквартальною розбивкою i вiдображає очiкуванi фiнансовi результати в запланованому роцi. Фiнансовий план пiдприємства також мiстить довiдкову iнформацiю щодо фактичних показникiв минулого року та планових показникiв  поточного</w:t>
      </w:r>
      <w:r>
        <w:rPr>
          <w:rFonts w:cs="Times New Roman" w:ascii="Times New Roman" w:hAnsi="Times New Roman"/>
          <w:spacing w:val="-1"/>
          <w:sz w:val="26"/>
          <w:szCs w:val="26"/>
        </w:rPr>
        <w:t xml:space="preserve"> </w:t>
      </w:r>
      <w:r>
        <w:rPr>
          <w:rFonts w:cs="Times New Roman" w:ascii="Times New Roman" w:hAnsi="Times New Roman"/>
          <w:sz w:val="26"/>
          <w:szCs w:val="26"/>
        </w:rPr>
        <w:t>року.</w:t>
      </w:r>
    </w:p>
    <w:p>
      <w:pPr>
        <w:pStyle w:val="Style22"/>
        <w:spacing w:before="5" w:after="0"/>
        <w:jc w:val="both"/>
        <w:rPr>
          <w:rFonts w:ascii="Times New Roman" w:hAnsi="Times New Roman" w:cs="Times New Roman"/>
          <w:sz w:val="26"/>
          <w:szCs w:val="26"/>
        </w:rPr>
      </w:pPr>
      <w:r>
        <w:rPr>
          <w:rFonts w:cs="Times New Roman" w:ascii="Times New Roman" w:hAnsi="Times New Roman"/>
          <w:sz w:val="26"/>
          <w:szCs w:val="26"/>
        </w:rPr>
      </w:r>
    </w:p>
    <w:p>
      <w:pPr>
        <w:pStyle w:val="Style26"/>
        <w:widowControl w:val="false"/>
        <w:numPr>
          <w:ilvl w:val="0"/>
          <w:numId w:val="5"/>
        </w:numPr>
        <w:tabs>
          <w:tab w:val="left" w:pos="995" w:leader="none"/>
        </w:tabs>
        <w:spacing w:lineRule="auto" w:line="240" w:before="0" w:after="0"/>
        <w:ind w:left="102" w:right="103" w:firstLine="566"/>
        <w:contextualSpacing/>
        <w:jc w:val="both"/>
        <w:rPr>
          <w:rFonts w:ascii="Times New Roman" w:hAnsi="Times New Roman" w:cs="Times New Roman"/>
          <w:sz w:val="26"/>
          <w:szCs w:val="26"/>
        </w:rPr>
      </w:pPr>
      <w:r>
        <w:rPr>
          <w:rFonts w:cs="Times New Roman" w:ascii="Times New Roman" w:hAnsi="Times New Roman"/>
          <w:sz w:val="26"/>
          <w:szCs w:val="26"/>
        </w:rPr>
        <w:t>Фiнансовий план пiдприємства повинен забезпечувати зростання фiнансових результатiв дiяльностi, отримання прибутку та чистого прибутку, розмiр яких не може бути меншим, нiж прогнознi та плановi показники поточного року, розрахованi на базi фактично досягнутих показникiв I –II кварталу поточного року та прогнозованого рiвня iнфляцiї.</w:t>
      </w:r>
    </w:p>
    <w:p>
      <w:pPr>
        <w:pStyle w:val="Normal"/>
        <w:tabs>
          <w:tab w:val="left" w:pos="995" w:leader="none"/>
        </w:tabs>
        <w:spacing w:before="0" w:after="0"/>
        <w:ind w:left="0" w:right="103" w:hanging="0"/>
        <w:jc w:val="both"/>
        <w:rPr>
          <w:rFonts w:ascii="Times New Roman" w:hAnsi="Times New Roman" w:cs="Times New Roman"/>
          <w:sz w:val="26"/>
          <w:szCs w:val="26"/>
          <w:lang w:val="uk-UA"/>
        </w:rPr>
      </w:pPr>
      <w:r>
        <w:rPr>
          <w:rFonts w:cs="Times New Roman" w:ascii="Times New Roman" w:hAnsi="Times New Roman"/>
          <w:sz w:val="26"/>
          <w:szCs w:val="26"/>
          <w:lang w:val="uk-UA"/>
        </w:rPr>
      </w:r>
    </w:p>
    <w:p>
      <w:pPr>
        <w:pStyle w:val="Style26"/>
        <w:widowControl w:val="false"/>
        <w:numPr>
          <w:ilvl w:val="0"/>
          <w:numId w:val="5"/>
        </w:numPr>
        <w:tabs>
          <w:tab w:val="left" w:pos="954" w:leader="none"/>
        </w:tabs>
        <w:spacing w:lineRule="auto" w:line="240" w:before="0" w:after="0"/>
        <w:ind w:left="102" w:right="105" w:firstLine="566"/>
        <w:contextualSpacing/>
        <w:jc w:val="both"/>
        <w:rPr/>
      </w:pPr>
      <w:r>
        <w:rPr>
          <w:rFonts w:cs="Times New Roman" w:ascii="Times New Roman" w:hAnsi="Times New Roman"/>
          <w:sz w:val="26"/>
          <w:szCs w:val="26"/>
        </w:rPr>
        <w:t>Проект фiнансового плану пiдприємства у двох примiрниках в паперовому та електронному виглядi подається у Виконавчий комiтет Червоноградської мiської ради до 15 жовтня року, що передує</w:t>
      </w:r>
      <w:r>
        <w:rPr>
          <w:rFonts w:cs="Times New Roman" w:ascii="Times New Roman" w:hAnsi="Times New Roman"/>
          <w:spacing w:val="-2"/>
          <w:sz w:val="26"/>
          <w:szCs w:val="26"/>
        </w:rPr>
        <w:t xml:space="preserve"> </w:t>
      </w:r>
      <w:r>
        <w:rPr>
          <w:rFonts w:cs="Times New Roman" w:ascii="Times New Roman" w:hAnsi="Times New Roman"/>
          <w:sz w:val="26"/>
          <w:szCs w:val="26"/>
        </w:rPr>
        <w:t>плановому.</w:t>
      </w:r>
    </w:p>
    <w:p>
      <w:pPr>
        <w:pStyle w:val="Style22"/>
        <w:spacing w:before="61" w:after="0"/>
        <w:ind w:left="0" w:right="101" w:firstLine="709"/>
        <w:jc w:val="both"/>
        <w:rPr>
          <w:rFonts w:ascii="Times New Roman" w:hAnsi="Times New Roman" w:cs="Times New Roman"/>
          <w:sz w:val="26"/>
          <w:szCs w:val="26"/>
        </w:rPr>
      </w:pPr>
      <w:r>
        <w:rPr>
          <w:rFonts w:cs="Times New Roman" w:ascii="Times New Roman" w:hAnsi="Times New Roman"/>
          <w:sz w:val="26"/>
          <w:szCs w:val="26"/>
        </w:rPr>
        <w:t>До проекту фiнансового плану пiдприємства додається пояснювальна записка (додаток 2 до Порядку), яка включає результати аналiзу його фiнансово-господарської дiяльностi за попереднiй рiк, а також показники господарської дiяльностi та розвитку пiдприємства в поточному роцi та на плановий рiк.</w:t>
      </w:r>
    </w:p>
    <w:p>
      <w:pPr>
        <w:pStyle w:val="Style22"/>
        <w:spacing w:before="61" w:after="0"/>
        <w:ind w:left="0" w:right="101" w:firstLine="709"/>
        <w:jc w:val="both"/>
        <w:rPr/>
      </w:pPr>
      <w:r>
        <w:rPr>
          <w:rFonts w:cs="Times New Roman" w:ascii="Times New Roman" w:hAnsi="Times New Roman"/>
          <w:sz w:val="26"/>
          <w:szCs w:val="26"/>
          <w:lang w:val="uk-UA"/>
        </w:rPr>
        <w:t>У разi зменшення чистого доходу (виручки) вiд реалiзацiї продукцiї (товарiв, робiт, послуг), прибутку або чистого прибутку порiвняно iз прогнозними та запланованими показниками поточного року пiдприємство обов'язково подає також обґрунтування причин такого зменшення з вiдповiдними</w:t>
      </w:r>
      <w:r>
        <w:rPr>
          <w:rFonts w:cs="Times New Roman" w:ascii="Times New Roman" w:hAnsi="Times New Roman"/>
          <w:spacing w:val="-2"/>
          <w:sz w:val="26"/>
          <w:szCs w:val="26"/>
          <w:lang w:val="uk-UA"/>
        </w:rPr>
        <w:t xml:space="preserve"> </w:t>
      </w:r>
      <w:r>
        <w:rPr>
          <w:rFonts w:cs="Times New Roman" w:ascii="Times New Roman" w:hAnsi="Times New Roman"/>
          <w:sz w:val="26"/>
          <w:szCs w:val="26"/>
          <w:lang w:val="uk-UA"/>
        </w:rPr>
        <w:t>розрахунками.</w:t>
      </w:r>
    </w:p>
    <w:p>
      <w:pPr>
        <w:pStyle w:val="Style22"/>
        <w:spacing w:before="0" w:after="0"/>
        <w:ind w:left="0" w:right="112" w:hanging="0"/>
        <w:jc w:val="both"/>
        <w:rPr>
          <w:rFonts w:ascii="Times New Roman" w:hAnsi="Times New Roman" w:cs="Times New Roman"/>
          <w:sz w:val="26"/>
          <w:szCs w:val="26"/>
        </w:rPr>
      </w:pPr>
      <w:r>
        <w:rPr>
          <w:rFonts w:cs="Times New Roman" w:ascii="Times New Roman" w:hAnsi="Times New Roman"/>
          <w:sz w:val="26"/>
          <w:szCs w:val="26"/>
        </w:rPr>
        <w:t>До проекту фiнансового плану пiдприємства додають в паперовому й електронному виглядi:</w:t>
      </w:r>
    </w:p>
    <w:p>
      <w:pPr>
        <w:pStyle w:val="Style26"/>
        <w:widowControl w:val="false"/>
        <w:numPr>
          <w:ilvl w:val="0"/>
          <w:numId w:val="4"/>
        </w:numPr>
        <w:tabs>
          <w:tab w:val="left" w:pos="808" w:leader="none"/>
        </w:tabs>
        <w:spacing w:lineRule="auto" w:line="240" w:before="61" w:after="0"/>
        <w:ind w:left="807" w:right="0" w:hanging="139"/>
        <w:contextualSpacing/>
        <w:jc w:val="both"/>
        <w:rPr/>
      </w:pPr>
      <w:r>
        <w:rPr>
          <w:rFonts w:cs="Times New Roman" w:ascii="Times New Roman" w:hAnsi="Times New Roman"/>
          <w:sz w:val="26"/>
          <w:szCs w:val="26"/>
        </w:rPr>
        <w:t>баланс пiдприємства</w:t>
      </w:r>
      <w:r>
        <w:rPr>
          <w:rFonts w:cs="Times New Roman" w:ascii="Times New Roman" w:hAnsi="Times New Roman"/>
          <w:spacing w:val="-2"/>
          <w:sz w:val="26"/>
          <w:szCs w:val="26"/>
        </w:rPr>
        <w:t xml:space="preserve"> </w:t>
      </w:r>
      <w:r>
        <w:rPr>
          <w:rFonts w:cs="Times New Roman" w:ascii="Times New Roman" w:hAnsi="Times New Roman"/>
          <w:sz w:val="26"/>
          <w:szCs w:val="26"/>
        </w:rPr>
        <w:t>;</w:t>
      </w:r>
    </w:p>
    <w:p>
      <w:pPr>
        <w:pStyle w:val="Style26"/>
        <w:widowControl w:val="false"/>
        <w:numPr>
          <w:ilvl w:val="0"/>
          <w:numId w:val="4"/>
        </w:numPr>
        <w:tabs>
          <w:tab w:val="left" w:pos="808" w:leader="none"/>
        </w:tabs>
        <w:spacing w:lineRule="auto" w:line="240" w:before="60" w:after="0"/>
        <w:ind w:left="807" w:right="0" w:hanging="139"/>
        <w:contextualSpacing/>
        <w:jc w:val="both"/>
        <w:rPr>
          <w:rFonts w:ascii="Times New Roman" w:hAnsi="Times New Roman" w:cs="Times New Roman"/>
          <w:sz w:val="26"/>
          <w:szCs w:val="26"/>
        </w:rPr>
      </w:pPr>
      <w:r>
        <w:rPr>
          <w:rFonts w:cs="Times New Roman" w:ascii="Times New Roman" w:hAnsi="Times New Roman"/>
          <w:sz w:val="26"/>
          <w:szCs w:val="26"/>
        </w:rPr>
        <w:t>звiт про фiнансовi результати пiдприємства;</w:t>
      </w:r>
    </w:p>
    <w:p>
      <w:pPr>
        <w:pStyle w:val="Style26"/>
        <w:widowControl w:val="false"/>
        <w:numPr>
          <w:ilvl w:val="0"/>
          <w:numId w:val="4"/>
        </w:numPr>
        <w:tabs>
          <w:tab w:val="left" w:pos="808" w:leader="none"/>
        </w:tabs>
        <w:spacing w:lineRule="auto" w:line="240" w:before="60" w:after="0"/>
        <w:ind w:left="807" w:right="0" w:hanging="139"/>
        <w:contextualSpacing/>
        <w:jc w:val="both"/>
        <w:rPr/>
      </w:pPr>
      <w:r>
        <w:rPr>
          <w:rFonts w:cs="Times New Roman" w:ascii="Times New Roman" w:hAnsi="Times New Roman"/>
          <w:sz w:val="26"/>
          <w:szCs w:val="26"/>
        </w:rPr>
        <w:t>копiя декларацiї з податку на прибуток за минулий</w:t>
      </w:r>
      <w:r>
        <w:rPr>
          <w:rFonts w:cs="Times New Roman" w:ascii="Times New Roman" w:hAnsi="Times New Roman"/>
          <w:spacing w:val="-9"/>
          <w:sz w:val="26"/>
          <w:szCs w:val="26"/>
        </w:rPr>
        <w:t xml:space="preserve"> </w:t>
      </w:r>
      <w:r>
        <w:rPr>
          <w:rFonts w:cs="Times New Roman" w:ascii="Times New Roman" w:hAnsi="Times New Roman"/>
          <w:sz w:val="26"/>
          <w:szCs w:val="26"/>
        </w:rPr>
        <w:t xml:space="preserve">рiк (якщо пiдприємство не включено до реєстру неприбуткових органiзацiй) </w:t>
      </w:r>
    </w:p>
    <w:p>
      <w:pPr>
        <w:pStyle w:val="Style26"/>
        <w:widowControl w:val="false"/>
        <w:tabs>
          <w:tab w:val="left" w:pos="808" w:leader="none"/>
        </w:tabs>
        <w:spacing w:lineRule="auto" w:line="240" w:before="60" w:after="0"/>
        <w:ind w:left="807" w:right="0" w:hanging="0"/>
        <w:contextualSpacing/>
        <w:jc w:val="both"/>
        <w:rPr>
          <w:rFonts w:ascii="Times New Roman" w:hAnsi="Times New Roman" w:cs="Times New Roman"/>
          <w:sz w:val="26"/>
          <w:szCs w:val="26"/>
        </w:rPr>
      </w:pPr>
      <w:r>
        <w:rPr>
          <w:rFonts w:cs="Times New Roman" w:ascii="Times New Roman" w:hAnsi="Times New Roman"/>
          <w:sz w:val="26"/>
          <w:szCs w:val="26"/>
        </w:rPr>
      </w:r>
    </w:p>
    <w:p>
      <w:pPr>
        <w:pStyle w:val="Style26"/>
        <w:widowControl w:val="false"/>
        <w:numPr>
          <w:ilvl w:val="0"/>
          <w:numId w:val="5"/>
        </w:numPr>
        <w:tabs>
          <w:tab w:val="left" w:pos="0" w:leader="none"/>
          <w:tab w:val="left" w:pos="851" w:leader="none"/>
          <w:tab w:val="left" w:pos="1134" w:leader="none"/>
        </w:tabs>
        <w:spacing w:lineRule="auto" w:line="240" w:before="60" w:after="0"/>
        <w:ind w:left="720" w:right="0" w:firstLine="607"/>
        <w:contextualSpacing/>
        <w:jc w:val="both"/>
        <w:rPr/>
      </w:pPr>
      <w:r>
        <w:rPr>
          <w:rFonts w:cs="Times New Roman" w:ascii="Times New Roman" w:hAnsi="Times New Roman"/>
          <w:sz w:val="26"/>
          <w:szCs w:val="26"/>
        </w:rPr>
        <w:t xml:space="preserve">Робоча група з питань проведення аналiзу фiнансово – господарської дiяльностi пiдприємств комунальної власностi у мiсячний термiн здiйснює аналiз проектiв фiнансових планiв пiдприємств з обов'язковим порiвнянням їх показникiв з показниками фiнансово- господарської дiяльностi минулого року. На пiдставi протоколу робочої групи з питань проведення аналiзу фiнансово – господарської дiяльностi пiдприємств комунальної власностi, поданий  фiнансовий план погоджується  мiським головою. </w:t>
      </w:r>
    </w:p>
    <w:p>
      <w:pPr>
        <w:pStyle w:val="Style22"/>
        <w:spacing w:before="61" w:after="0"/>
        <w:ind w:left="0" w:right="108" w:firstLine="607"/>
        <w:jc w:val="both"/>
        <w:rPr>
          <w:rFonts w:ascii="Times New Roman" w:hAnsi="Times New Roman" w:cs="Times New Roman"/>
          <w:sz w:val="26"/>
          <w:szCs w:val="26"/>
        </w:rPr>
      </w:pPr>
      <w:r>
        <w:rPr>
          <w:rFonts w:cs="Times New Roman" w:ascii="Times New Roman" w:hAnsi="Times New Roman"/>
          <w:sz w:val="26"/>
          <w:szCs w:val="26"/>
        </w:rPr>
        <w:t>Якщо проект фiнансового плану пiдприємства не вiдповiдає вимогам цього Порядку та встановленiй формi, вiн пiдлягає поверненню на доопрацювання.</w:t>
      </w:r>
    </w:p>
    <w:p>
      <w:pPr>
        <w:pStyle w:val="Style22"/>
        <w:spacing w:before="0" w:after="0"/>
        <w:ind w:left="0" w:right="108" w:firstLine="607"/>
        <w:jc w:val="both"/>
        <w:rPr>
          <w:rFonts w:ascii="Times New Roman" w:hAnsi="Times New Roman" w:cs="Times New Roman"/>
          <w:sz w:val="26"/>
          <w:szCs w:val="26"/>
        </w:rPr>
      </w:pPr>
      <w:r>
        <w:rPr>
          <w:rFonts w:cs="Times New Roman" w:ascii="Times New Roman" w:hAnsi="Times New Roman"/>
          <w:sz w:val="26"/>
          <w:szCs w:val="26"/>
        </w:rPr>
        <w:t>У разi повернення проекту фiнансового плану пiдприємству на доопрацювання, пiдприємство протягом десяти днiв доопрацьовує його вiдповiдно до висловлених зауважень та повторно подає на розгляд в тому ж порядку.</w:t>
      </w:r>
    </w:p>
    <w:p>
      <w:pPr>
        <w:pStyle w:val="Style26"/>
        <w:widowControl w:val="false"/>
        <w:numPr>
          <w:ilvl w:val="0"/>
          <w:numId w:val="5"/>
        </w:numPr>
        <w:tabs>
          <w:tab w:val="left" w:pos="925" w:leader="none"/>
        </w:tabs>
        <w:spacing w:lineRule="auto" w:line="240" w:before="60" w:after="0"/>
        <w:ind w:left="102" w:right="105" w:firstLine="607"/>
        <w:contextualSpacing/>
        <w:jc w:val="both"/>
        <w:rPr/>
      </w:pPr>
      <w:r>
        <w:rPr>
          <w:rFonts w:cs="Times New Roman" w:ascii="Times New Roman" w:hAnsi="Times New Roman"/>
          <w:sz w:val="26"/>
          <w:szCs w:val="26"/>
        </w:rPr>
        <w:t>Змiни до погодженого  фiнансового плану пiдприємства можуть вноситися один раз на рiк, у якому погоджувався фiнансовий план, та не бiльше чотирьох разiв протягом планового</w:t>
      </w:r>
      <w:r>
        <w:rPr>
          <w:rFonts w:cs="Times New Roman" w:ascii="Times New Roman" w:hAnsi="Times New Roman"/>
          <w:spacing w:val="-1"/>
          <w:sz w:val="26"/>
          <w:szCs w:val="26"/>
        </w:rPr>
        <w:t xml:space="preserve"> </w:t>
      </w:r>
      <w:r>
        <w:rPr>
          <w:rFonts w:cs="Times New Roman" w:ascii="Times New Roman" w:hAnsi="Times New Roman"/>
          <w:sz w:val="26"/>
          <w:szCs w:val="26"/>
        </w:rPr>
        <w:t>року.</w:t>
      </w:r>
    </w:p>
    <w:p>
      <w:pPr>
        <w:pStyle w:val="Style22"/>
        <w:spacing w:before="0" w:after="0"/>
        <w:ind w:left="0" w:right="115" w:firstLine="607"/>
        <w:jc w:val="both"/>
        <w:rPr/>
      </w:pPr>
      <w:r>
        <w:rPr>
          <w:rFonts w:cs="Times New Roman" w:ascii="Times New Roman" w:hAnsi="Times New Roman"/>
          <w:sz w:val="26"/>
          <w:szCs w:val="26"/>
        </w:rPr>
        <w:t xml:space="preserve">Змiни до фiнансового плану пiдприємства не можуть </w:t>
      </w:r>
      <w:r>
        <w:rPr>
          <w:rFonts w:cs="Times New Roman" w:ascii="Times New Roman" w:hAnsi="Times New Roman"/>
          <w:sz w:val="26"/>
          <w:szCs w:val="26"/>
          <w:lang w:val="uk-UA"/>
        </w:rPr>
        <w:t>в</w:t>
      </w:r>
      <w:r>
        <w:rPr>
          <w:rFonts w:cs="Times New Roman" w:ascii="Times New Roman" w:hAnsi="Times New Roman"/>
          <w:sz w:val="26"/>
          <w:szCs w:val="26"/>
        </w:rPr>
        <w:t>носитись у перiоди, за якими минув строк звiтування.</w:t>
      </w:r>
    </w:p>
    <w:p>
      <w:pPr>
        <w:pStyle w:val="Style22"/>
        <w:spacing w:before="0" w:after="0"/>
        <w:ind w:left="0" w:right="103" w:firstLine="607"/>
        <w:jc w:val="both"/>
        <w:rPr/>
      </w:pPr>
      <w:r>
        <w:rPr>
          <w:rFonts w:cs="Times New Roman" w:ascii="Times New Roman" w:hAnsi="Times New Roman"/>
          <w:sz w:val="26"/>
          <w:szCs w:val="26"/>
        </w:rPr>
        <w:t xml:space="preserve">Проект змiн до фiнансового плану пiдприємства з пояснювальною запискою про причини змiн готується пiдприємством i подається у </w:t>
      </w:r>
      <w:r>
        <w:rPr>
          <w:rFonts w:cs="Times New Roman" w:ascii="Times New Roman" w:hAnsi="Times New Roman"/>
          <w:sz w:val="26"/>
          <w:szCs w:val="26"/>
          <w:lang w:val="uk-UA"/>
        </w:rPr>
        <w:t xml:space="preserve"> Виконавчий комiтет </w:t>
      </w:r>
      <w:r>
        <w:rPr>
          <w:rFonts w:cs="Times New Roman" w:ascii="Times New Roman" w:hAnsi="Times New Roman"/>
          <w:sz w:val="26"/>
          <w:szCs w:val="26"/>
        </w:rPr>
        <w:t>мiськ</w:t>
      </w:r>
      <w:r>
        <w:rPr>
          <w:rFonts w:cs="Times New Roman" w:ascii="Times New Roman" w:hAnsi="Times New Roman"/>
          <w:sz w:val="26"/>
          <w:szCs w:val="26"/>
          <w:lang w:val="uk-UA"/>
        </w:rPr>
        <w:t>ої</w:t>
      </w:r>
      <w:r>
        <w:rPr>
          <w:rFonts w:cs="Times New Roman" w:ascii="Times New Roman" w:hAnsi="Times New Roman"/>
          <w:sz w:val="26"/>
          <w:szCs w:val="26"/>
        </w:rPr>
        <w:t xml:space="preserve"> рад</w:t>
      </w:r>
      <w:r>
        <w:rPr>
          <w:rFonts w:cs="Times New Roman" w:ascii="Times New Roman" w:hAnsi="Times New Roman"/>
          <w:sz w:val="26"/>
          <w:szCs w:val="26"/>
          <w:lang w:val="uk-UA"/>
        </w:rPr>
        <w:t>и</w:t>
      </w:r>
      <w:r>
        <w:rPr>
          <w:rFonts w:cs="Times New Roman" w:ascii="Times New Roman" w:hAnsi="Times New Roman"/>
          <w:sz w:val="26"/>
          <w:szCs w:val="26"/>
        </w:rPr>
        <w:t xml:space="preserve"> не пiзнiше</w:t>
      </w:r>
      <w:r>
        <w:rPr>
          <w:rFonts w:cs="Times New Roman" w:ascii="Times New Roman" w:hAnsi="Times New Roman"/>
          <w:sz w:val="26"/>
          <w:szCs w:val="26"/>
          <w:lang w:val="uk-UA"/>
        </w:rPr>
        <w:t xml:space="preserve"> 10 числа мiсяця, що слiдує за останнiм мiсяцем кварталу,  у якому  згiдно проведеного аналiзу результатiв дiяльностi пiдприємства виникла необхiднiсть внесення змiн до фiнансового плану пiдприємства.</w:t>
      </w:r>
    </w:p>
    <w:p>
      <w:pPr>
        <w:pStyle w:val="Style26"/>
        <w:widowControl w:val="false"/>
        <w:numPr>
          <w:ilvl w:val="0"/>
          <w:numId w:val="5"/>
        </w:numPr>
        <w:tabs>
          <w:tab w:val="left" w:pos="928" w:leader="none"/>
        </w:tabs>
        <w:spacing w:lineRule="auto" w:line="240" w:before="61" w:after="0"/>
        <w:ind w:left="102" w:right="110" w:firstLine="607"/>
        <w:contextualSpacing/>
        <w:jc w:val="both"/>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Виконавчi органи Червоноградської мiської ради у тижневий термiн готують  змiнений фiнансовий план пiдприємства до погодження за процедурою, передбаченою пунктом 5 цього Порядку, iз зазначенням пiдстав унесення змiн до нього.</w:t>
      </w:r>
    </w:p>
    <w:p>
      <w:pPr>
        <w:pStyle w:val="Style22"/>
        <w:spacing w:before="0" w:after="0"/>
        <w:ind w:left="0" w:right="110" w:firstLine="607"/>
        <w:jc w:val="both"/>
        <w:rPr>
          <w:rFonts w:ascii="Times New Roman" w:hAnsi="Times New Roman" w:cs="Times New Roman"/>
          <w:sz w:val="26"/>
          <w:szCs w:val="26"/>
        </w:rPr>
      </w:pPr>
      <w:r>
        <w:rPr>
          <w:rFonts w:cs="Times New Roman" w:ascii="Times New Roman" w:hAnsi="Times New Roman"/>
          <w:sz w:val="26"/>
          <w:szCs w:val="26"/>
        </w:rPr>
        <w:t>Мотивована вiдмова про пiдстави вiдхилення змiн до фiнансового плану пiдприємства надсилається в письмовiй формi.</w:t>
      </w:r>
    </w:p>
    <w:p>
      <w:pPr>
        <w:pStyle w:val="Style26"/>
        <w:widowControl w:val="false"/>
        <w:numPr>
          <w:ilvl w:val="0"/>
          <w:numId w:val="5"/>
        </w:numPr>
        <w:tabs>
          <w:tab w:val="left" w:pos="945" w:leader="none"/>
        </w:tabs>
        <w:spacing w:lineRule="auto" w:line="240" w:before="60" w:after="0"/>
        <w:ind w:left="102" w:right="103" w:firstLine="607"/>
        <w:contextualSpacing/>
        <w:jc w:val="both"/>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Мiський голова, при погодженi  фiнансових планiв пiдприємств визначає iз числа заступникiв мiського голови вiдповiдального за здiйснення контролю  за своєчасним складанням фiнансових планiв пiдприємства, а також за виконанням показникiв затверджених фiнансового плану. Вiдповiдальнiсть за достовiрнiсть та обґрунтованiсть планування окремих показникiв несе керiвник</w:t>
      </w:r>
      <w:r>
        <w:rPr>
          <w:rFonts w:cs="Times New Roman" w:ascii="Times New Roman" w:hAnsi="Times New Roman"/>
          <w:spacing w:val="-4"/>
          <w:sz w:val="26"/>
          <w:szCs w:val="26"/>
        </w:rPr>
        <w:t xml:space="preserve"> </w:t>
      </w:r>
      <w:r>
        <w:rPr>
          <w:rFonts w:cs="Times New Roman" w:ascii="Times New Roman" w:hAnsi="Times New Roman"/>
          <w:sz w:val="26"/>
          <w:szCs w:val="26"/>
        </w:rPr>
        <w:t>пiдприємства.</w:t>
      </w:r>
    </w:p>
    <w:p>
      <w:pPr>
        <w:pStyle w:val="Style26"/>
        <w:widowControl w:val="false"/>
        <w:numPr>
          <w:ilvl w:val="0"/>
          <w:numId w:val="5"/>
        </w:numPr>
        <w:tabs>
          <w:tab w:val="left" w:pos="995" w:leader="none"/>
        </w:tabs>
        <w:spacing w:lineRule="auto" w:line="240" w:before="60" w:after="0"/>
        <w:ind w:left="102" w:right="107" w:firstLine="607"/>
        <w:contextualSpacing/>
        <w:jc w:val="both"/>
        <w:rPr>
          <w:rFonts w:ascii="Times New Roman" w:hAnsi="Times New Roman" w:cs="Times New Roman"/>
          <w:sz w:val="26"/>
          <w:szCs w:val="26"/>
        </w:rPr>
      </w:pPr>
      <w:r>
        <w:rPr>
          <w:rFonts w:cs="Times New Roman" w:ascii="Times New Roman" w:hAnsi="Times New Roman"/>
          <w:sz w:val="26"/>
          <w:szCs w:val="26"/>
        </w:rPr>
        <w:t>Звiт про виконання фiнансового плану пiдприємство надає в паперовому й електронному виглядi на розгляд Робочої групи з питань проведення аналiзу фiнансово – господарської дiяльностi пiдприємств комунальної власностi за звiтний рiк в строк до 01 березня року, що настає за звiтним перiодом, разом з пояснювальною запискою, щодо результатiв дiяльностi та iз зазначенням за окремими факторами причин суттєвих вiдхилень фактичних показникiв вiд планових.</w:t>
      </w:r>
    </w:p>
    <w:p>
      <w:pPr>
        <w:pStyle w:val="Style26"/>
        <w:widowControl w:val="false"/>
        <w:numPr>
          <w:ilvl w:val="0"/>
          <w:numId w:val="5"/>
        </w:numPr>
        <w:tabs>
          <w:tab w:val="left" w:pos="1089" w:leader="none"/>
        </w:tabs>
        <w:spacing w:lineRule="auto" w:line="240" w:before="60" w:after="0"/>
        <w:ind w:left="102" w:right="113" w:firstLine="566"/>
        <w:contextualSpacing/>
        <w:jc w:val="both"/>
        <w:rPr>
          <w:rFonts w:ascii="Times New Roman" w:hAnsi="Times New Roman" w:cs="Times New Roman"/>
          <w:sz w:val="26"/>
          <w:szCs w:val="26"/>
        </w:rPr>
      </w:pPr>
      <w:r>
        <w:rPr>
          <w:rFonts w:cs="Times New Roman" w:ascii="Times New Roman" w:hAnsi="Times New Roman"/>
          <w:sz w:val="26"/>
          <w:szCs w:val="26"/>
        </w:rPr>
        <w:t>Вiдповiдальнiсть за достовiрнiсть i обґрунтованiсть показникiв несе керiвник пiдприємства.</w:t>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sectPr>
          <w:type w:val="nextPage"/>
          <w:pgSz w:w="11906" w:h="16838"/>
          <w:pgMar w:left="1701" w:right="850" w:header="0" w:top="567" w:footer="0" w:bottom="1079" w:gutter="0"/>
          <w:pgNumType w:fmt="decimal"/>
          <w:formProt w:val="false"/>
          <w:textDirection w:val="lrTb"/>
          <w:docGrid w:type="default" w:linePitch="360" w:charSpace="0"/>
        </w:sect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tbl>
      <w:tblPr>
        <w:tblW w:w="15375" w:type="dxa"/>
        <w:jc w:val="left"/>
        <w:tblInd w:w="-12" w:type="dxa"/>
        <w:tblBorders/>
        <w:tblCellMar>
          <w:top w:w="0" w:type="dxa"/>
          <w:left w:w="108" w:type="dxa"/>
          <w:bottom w:w="0" w:type="dxa"/>
          <w:right w:w="108" w:type="dxa"/>
        </w:tblCellMar>
      </w:tblPr>
      <w:tblGrid>
        <w:gridCol w:w="3344"/>
        <w:gridCol w:w="60"/>
        <w:gridCol w:w="1"/>
        <w:gridCol w:w="4110"/>
        <w:gridCol w:w="704"/>
        <w:gridCol w:w="3"/>
        <w:gridCol w:w="3"/>
        <w:gridCol w:w="1136"/>
        <w:gridCol w:w="33"/>
        <w:gridCol w:w="1"/>
        <w:gridCol w:w="3"/>
        <w:gridCol w:w="2"/>
        <w:gridCol w:w="1254"/>
        <w:gridCol w:w="2"/>
        <w:gridCol w:w="3"/>
        <w:gridCol w:w="2"/>
        <w:gridCol w:w="30"/>
        <w:gridCol w:w="818"/>
        <w:gridCol w:w="2"/>
        <w:gridCol w:w="1"/>
        <w:gridCol w:w="1027"/>
        <w:gridCol w:w="844"/>
        <w:gridCol w:w="5"/>
        <w:gridCol w:w="3"/>
        <w:gridCol w:w="2"/>
        <w:gridCol w:w="1022"/>
        <w:gridCol w:w="958"/>
      </w:tblGrid>
      <w:tr>
        <w:trPr>
          <w:trHeight w:val="375" w:hRule="atLeast"/>
        </w:trPr>
        <w:tc>
          <w:tcPr>
            <w:tcW w:w="3344" w:type="dxa"/>
            <w:tcBorders/>
            <w:shd w:fill="auto" w:val="clear"/>
            <w:vAlign w:val="center"/>
          </w:tcPr>
          <w:p>
            <w:pPr>
              <w:pStyle w:val="Normal"/>
              <w:snapToGrid w:val="false"/>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bookmarkStart w:id="0" w:name="RANGE!A1%2525252525252525252525252525252"/>
            <w:bookmarkStart w:id="1" w:name="RANGE!A1%2525252525252525252525252525252"/>
            <w:bookmarkEnd w:id="1"/>
          </w:p>
        </w:tc>
        <w:tc>
          <w:tcPr>
            <w:tcW w:w="60" w:type="dxa"/>
            <w:tcBorders/>
            <w:shd w:fill="auto" w:val="clear"/>
            <w:vAlign w:val="center"/>
          </w:tcPr>
          <w:p>
            <w:pPr>
              <w:pStyle w:val="Normal"/>
              <w:snapToGrid w:val="false"/>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4818" w:type="dxa"/>
            <w:gridSpan w:val="4"/>
            <w:tcBorders/>
            <w:shd w:fill="auto" w:val="clear"/>
            <w:vAlign w:val="center"/>
          </w:tcPr>
          <w:p>
            <w:pPr>
              <w:pStyle w:val="Normal"/>
              <w:snapToGrid w:val="false"/>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176" w:type="dxa"/>
            <w:gridSpan w:val="5"/>
            <w:tcBorders/>
            <w:shd w:fill="auto" w:val="clear"/>
            <w:vAlign w:val="center"/>
          </w:tcPr>
          <w:p>
            <w:pPr>
              <w:pStyle w:val="Normal"/>
              <w:snapToGrid w:val="false"/>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261" w:type="dxa"/>
            <w:gridSpan w:val="4"/>
            <w:tcBorders/>
            <w:shd w:fill="auto" w:val="clear"/>
            <w:vAlign w:val="center"/>
          </w:tcPr>
          <w:p>
            <w:pPr>
              <w:pStyle w:val="Normal"/>
              <w:snapToGrid w:val="false"/>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853" w:type="dxa"/>
            <w:gridSpan w:val="5"/>
            <w:tcBorders/>
            <w:shd w:fill="auto" w:val="clear"/>
            <w:vAlign w:val="center"/>
          </w:tcPr>
          <w:p>
            <w:pPr>
              <w:pStyle w:val="Normal"/>
              <w:snapToGrid w:val="false"/>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881" w:type="dxa"/>
            <w:gridSpan w:val="5"/>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Додаток 1</w:t>
            </w:r>
          </w:p>
        </w:tc>
        <w:tc>
          <w:tcPr>
            <w:tcW w:w="1980" w:type="dxa"/>
            <w:gridSpan w:val="2"/>
            <w:tcBorders/>
            <w:shd w:fill="auto" w:val="clear"/>
            <w:vAlign w:val="center"/>
          </w:tcPr>
          <w:p>
            <w:pPr>
              <w:pStyle w:val="Normal"/>
              <w:snapToGrid w:val="false"/>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r>
      <w:tr>
        <w:trPr>
          <w:trHeight w:val="1095" w:hRule="atLeast"/>
        </w:trPr>
        <w:tc>
          <w:tcPr>
            <w:tcW w:w="3344" w:type="dxa"/>
            <w:tcBorders/>
            <w:shd w:fill="auto" w:val="clear"/>
            <w:vAlign w:val="center"/>
          </w:tcPr>
          <w:p>
            <w:pPr>
              <w:pStyle w:val="Normal"/>
              <w:snapToGrid w:val="false"/>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60" w:type="dxa"/>
            <w:tcBorders/>
            <w:shd w:fill="auto" w:val="clear"/>
            <w:vAlign w:val="center"/>
          </w:tcPr>
          <w:p>
            <w:pPr>
              <w:pStyle w:val="Normal"/>
              <w:snapToGrid w:val="false"/>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4818" w:type="dxa"/>
            <w:gridSpan w:val="4"/>
            <w:tcBorders/>
            <w:shd w:fill="auto" w:val="clear"/>
            <w:vAlign w:val="center"/>
          </w:tcPr>
          <w:p>
            <w:pPr>
              <w:pStyle w:val="Normal"/>
              <w:snapToGrid w:val="false"/>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176" w:type="dxa"/>
            <w:gridSpan w:val="5"/>
            <w:tcBorders/>
            <w:shd w:fill="auto" w:val="clear"/>
            <w:vAlign w:val="center"/>
          </w:tcPr>
          <w:p>
            <w:pPr>
              <w:pStyle w:val="Normal"/>
              <w:snapToGrid w:val="false"/>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261" w:type="dxa"/>
            <w:gridSpan w:val="4"/>
            <w:tcBorders/>
            <w:shd w:fill="auto" w:val="clear"/>
            <w:vAlign w:val="center"/>
          </w:tcPr>
          <w:p>
            <w:pPr>
              <w:pStyle w:val="Normal"/>
              <w:snapToGrid w:val="false"/>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4714" w:type="dxa"/>
            <w:gridSpan w:val="12"/>
            <w:tcBorders/>
            <w:shd w:fill="auto" w:val="clea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xml:space="preserve">до Порядку складання, погодження та контролю виконання фiнансових планiв комунальних пiдприємств Червоноградської мiської ради </w:t>
            </w:r>
          </w:p>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xml:space="preserve"> </w:t>
            </w:r>
          </w:p>
        </w:tc>
      </w:tr>
      <w:tr>
        <w:trPr>
          <w:trHeight w:val="375" w:hRule="atLeast"/>
        </w:trPr>
        <w:tc>
          <w:tcPr>
            <w:tcW w:w="3344" w:type="dxa"/>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"ПОГОДЖЕНО"</w:t>
            </w:r>
          </w:p>
        </w:tc>
        <w:tc>
          <w:tcPr>
            <w:tcW w:w="60" w:type="dxa"/>
            <w:tcBorders/>
            <w:shd w:fill="auto" w:val="clear"/>
            <w:vAlign w:val="center"/>
          </w:tcPr>
          <w:p>
            <w:pPr>
              <w:pStyle w:val="Normal"/>
              <w:snapToGrid w:val="false"/>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4818" w:type="dxa"/>
            <w:gridSpan w:val="4"/>
            <w:tcBorders/>
            <w:shd w:fill="auto" w:val="clear"/>
            <w:vAlign w:val="center"/>
          </w:tcPr>
          <w:p>
            <w:pPr>
              <w:pStyle w:val="Normal"/>
              <w:snapToGrid w:val="false"/>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176" w:type="dxa"/>
            <w:gridSpan w:val="5"/>
            <w:tcBorders/>
            <w:shd w:fill="auto" w:val="clear"/>
            <w:vAlign w:val="center"/>
          </w:tcPr>
          <w:p>
            <w:pPr>
              <w:pStyle w:val="Normal"/>
              <w:snapToGrid w:val="false"/>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261" w:type="dxa"/>
            <w:gridSpan w:val="4"/>
            <w:tcBorders/>
            <w:shd w:fill="auto" w:val="clear"/>
            <w:vAlign w:val="center"/>
          </w:tcPr>
          <w:p>
            <w:pPr>
              <w:pStyle w:val="Normal"/>
              <w:snapToGrid w:val="false"/>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853" w:type="dxa"/>
            <w:gridSpan w:val="5"/>
            <w:tcBorders/>
            <w:shd w:fill="auto" w:val="clear"/>
            <w:vAlign w:val="center"/>
          </w:tcPr>
          <w:p>
            <w:pPr>
              <w:pStyle w:val="Normal"/>
              <w:snapToGrid w:val="false"/>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3861" w:type="dxa"/>
            <w:gridSpan w:val="7"/>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"ЗАТВЕРДЖЕНО"</w:t>
            </w:r>
          </w:p>
        </w:tc>
      </w:tr>
      <w:tr>
        <w:trPr>
          <w:trHeight w:val="375" w:hRule="atLeast"/>
        </w:trPr>
        <w:tc>
          <w:tcPr>
            <w:tcW w:w="7515" w:type="dxa"/>
            <w:gridSpan w:val="4"/>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______________________________</w:t>
            </w:r>
          </w:p>
        </w:tc>
        <w:tc>
          <w:tcPr>
            <w:tcW w:w="704" w:type="dxa"/>
            <w:tcBorders/>
            <w:shd w:fill="auto" w:val="clear"/>
            <w:vAlign w:val="center"/>
          </w:tcPr>
          <w:p>
            <w:pPr>
              <w:pStyle w:val="Normal"/>
              <w:snapToGrid w:val="false"/>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142" w:type="dxa"/>
            <w:gridSpan w:val="3"/>
            <w:tcBorders/>
            <w:shd w:fill="auto" w:val="clear"/>
            <w:vAlign w:val="center"/>
          </w:tcPr>
          <w:p>
            <w:pPr>
              <w:pStyle w:val="Normal"/>
              <w:snapToGrid w:val="false"/>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330" w:type="dxa"/>
            <w:gridSpan w:val="9"/>
            <w:tcBorders/>
            <w:shd w:fill="auto" w:val="clear"/>
            <w:vAlign w:val="center"/>
          </w:tcPr>
          <w:p>
            <w:pPr>
              <w:pStyle w:val="Normal"/>
              <w:snapToGrid w:val="false"/>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4682" w:type="dxa"/>
            <w:gridSpan w:val="10"/>
            <w:vMerge w:val="restart"/>
            <w:tcBorders>
              <w:top w:val="single" w:sz="4" w:space="0" w:color="000000"/>
              <w:bottom w:val="single" w:sz="4" w:space="0" w:color="000000"/>
              <w:insideH w:val="single" w:sz="4" w:space="0" w:color="000000"/>
            </w:tcBorders>
            <w:shd w:fill="auto" w:val="clear"/>
            <w:vAlign w:val="center"/>
          </w:tcPr>
          <w:p>
            <w:pPr>
              <w:pStyle w:val="Normal"/>
              <w:snapToGrid w:val="false"/>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r>
              <w:rPr>
                <w:rFonts w:cs="Times New Roman" w:ascii="Times New Roman" w:hAnsi="Times New Roman"/>
                <w:sz w:val="20"/>
                <w:szCs w:val="20"/>
                <w:lang w:val="uk-UA" w:eastAsia="uk-UA"/>
              </w:rPr>
              <w:t>_________________________________________</w:t>
            </w:r>
          </w:p>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r>
              <w:rPr>
                <w:rFonts w:cs="Times New Roman" w:ascii="Times New Roman" w:hAnsi="Times New Roman"/>
                <w:sz w:val="20"/>
                <w:szCs w:val="20"/>
                <w:lang w:val="uk-UA" w:eastAsia="uk-UA"/>
              </w:rPr>
              <w:t>_______________________________________</w:t>
            </w:r>
          </w:p>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r>
      <w:tr>
        <w:trPr>
          <w:trHeight w:val="375" w:hRule="atLeast"/>
        </w:trPr>
        <w:tc>
          <w:tcPr>
            <w:tcW w:w="7515" w:type="dxa"/>
            <w:gridSpan w:val="4"/>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______________________________</w:t>
            </w:r>
          </w:p>
        </w:tc>
        <w:tc>
          <w:tcPr>
            <w:tcW w:w="704" w:type="dxa"/>
            <w:tcBorders/>
            <w:shd w:fill="auto" w:val="clear"/>
            <w:vAlign w:val="center"/>
          </w:tcPr>
          <w:p>
            <w:pPr>
              <w:pStyle w:val="Normal"/>
              <w:snapToGrid w:val="false"/>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142" w:type="dxa"/>
            <w:gridSpan w:val="3"/>
            <w:tcBorders/>
            <w:shd w:fill="auto" w:val="clear"/>
            <w:vAlign w:val="center"/>
          </w:tcPr>
          <w:p>
            <w:pPr>
              <w:pStyle w:val="Normal"/>
              <w:snapToGrid w:val="false"/>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330" w:type="dxa"/>
            <w:gridSpan w:val="9"/>
            <w:tcBorders/>
            <w:shd w:fill="auto" w:val="clear"/>
            <w:vAlign w:val="center"/>
          </w:tcPr>
          <w:p>
            <w:pPr>
              <w:pStyle w:val="Normal"/>
              <w:snapToGrid w:val="false"/>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4682" w:type="dxa"/>
            <w:gridSpan w:val="10"/>
            <w:vMerge w:val="continue"/>
            <w:tcBorders>
              <w:top w:val="single" w:sz="4" w:space="0" w:color="000000"/>
              <w:bottom w:val="single" w:sz="4" w:space="0" w:color="000000"/>
              <w:insideH w:val="single" w:sz="4" w:space="0" w:color="000000"/>
            </w:tcBorders>
            <w:shd w:fill="auto" w:val="clear"/>
            <w:vAlign w:val="center"/>
          </w:tcPr>
          <w:p>
            <w:pPr>
              <w:pStyle w:val="Normal"/>
              <w:widowControl/>
              <w:bidi w:val="0"/>
              <w:spacing w:lineRule="auto" w:line="276" w:before="0" w:after="200"/>
              <w:jc w:val="left"/>
              <w:rPr/>
            </w:pPr>
            <w:r>
              <w:rPr/>
            </w:r>
          </w:p>
        </w:tc>
      </w:tr>
      <w:tr>
        <w:trPr>
          <w:trHeight w:val="375" w:hRule="atLeast"/>
        </w:trPr>
        <w:tc>
          <w:tcPr>
            <w:tcW w:w="7515" w:type="dxa"/>
            <w:gridSpan w:val="4"/>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______________________________</w:t>
            </w:r>
          </w:p>
        </w:tc>
        <w:tc>
          <w:tcPr>
            <w:tcW w:w="704" w:type="dxa"/>
            <w:tcBorders/>
            <w:shd w:fill="auto" w:val="clear"/>
            <w:vAlign w:val="center"/>
          </w:tcPr>
          <w:p>
            <w:pPr>
              <w:pStyle w:val="Normal"/>
              <w:snapToGrid w:val="false"/>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142" w:type="dxa"/>
            <w:gridSpan w:val="3"/>
            <w:tcBorders/>
            <w:shd w:fill="auto" w:val="clear"/>
            <w:vAlign w:val="center"/>
          </w:tcPr>
          <w:p>
            <w:pPr>
              <w:pStyle w:val="Normal"/>
              <w:snapToGrid w:val="false"/>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330" w:type="dxa"/>
            <w:gridSpan w:val="9"/>
            <w:tcBorders/>
            <w:shd w:fill="auto" w:val="clear"/>
            <w:vAlign w:val="center"/>
          </w:tcPr>
          <w:p>
            <w:pPr>
              <w:pStyle w:val="Normal"/>
              <w:snapToGrid w:val="false"/>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4682" w:type="dxa"/>
            <w:gridSpan w:val="10"/>
            <w:vMerge w:val="continue"/>
            <w:tcBorders>
              <w:top w:val="single" w:sz="4" w:space="0" w:color="000000"/>
              <w:bottom w:val="single" w:sz="4" w:space="0" w:color="000000"/>
              <w:insideH w:val="single" w:sz="4" w:space="0" w:color="000000"/>
            </w:tcBorders>
            <w:shd w:fill="auto" w:val="clear"/>
            <w:vAlign w:val="center"/>
          </w:tcPr>
          <w:p>
            <w:pPr>
              <w:pStyle w:val="Normal"/>
              <w:widowControl/>
              <w:bidi w:val="0"/>
              <w:spacing w:lineRule="auto" w:line="276" w:before="0" w:after="200"/>
              <w:jc w:val="left"/>
              <w:rPr/>
            </w:pPr>
            <w:r>
              <w:rPr/>
            </w:r>
          </w:p>
        </w:tc>
      </w:tr>
      <w:tr>
        <w:trPr>
          <w:trHeight w:val="375" w:hRule="atLeast"/>
        </w:trPr>
        <w:tc>
          <w:tcPr>
            <w:tcW w:w="3405" w:type="dxa"/>
            <w:gridSpan w:val="3"/>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"____" _______________ 20___ р.</w:t>
            </w:r>
          </w:p>
        </w:tc>
        <w:tc>
          <w:tcPr>
            <w:tcW w:w="4820" w:type="dxa"/>
            <w:gridSpan w:val="4"/>
            <w:tcBorders/>
            <w:shd w:fill="auto" w:val="clear"/>
            <w:vAlign w:val="center"/>
          </w:tcPr>
          <w:p>
            <w:pPr>
              <w:pStyle w:val="Normal"/>
              <w:snapToGrid w:val="false"/>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175" w:type="dxa"/>
            <w:gridSpan w:val="5"/>
            <w:tcBorders/>
            <w:shd w:fill="auto" w:val="clear"/>
            <w:vAlign w:val="center"/>
          </w:tcPr>
          <w:p>
            <w:pPr>
              <w:pStyle w:val="Normal"/>
              <w:snapToGrid w:val="false"/>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261" w:type="dxa"/>
            <w:gridSpan w:val="4"/>
            <w:tcBorders/>
            <w:shd w:fill="auto" w:val="clear"/>
            <w:vAlign w:val="center"/>
          </w:tcPr>
          <w:p>
            <w:pPr>
              <w:pStyle w:val="Normal"/>
              <w:snapToGrid w:val="false"/>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850" w:type="dxa"/>
            <w:gridSpan w:val="3"/>
            <w:tcBorders/>
            <w:shd w:fill="auto" w:val="clear"/>
            <w:vAlign w:val="center"/>
          </w:tcPr>
          <w:p>
            <w:pPr>
              <w:pStyle w:val="Normal"/>
              <w:snapToGrid w:val="false"/>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3862" w:type="dxa"/>
            <w:gridSpan w:val="8"/>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"____" _________ 20___ р.</w:t>
            </w:r>
          </w:p>
        </w:tc>
      </w:tr>
      <w:tr>
        <w:trPr>
          <w:trHeight w:val="375" w:hRule="atLeast"/>
        </w:trPr>
        <w:tc>
          <w:tcPr>
            <w:tcW w:w="13391" w:type="dxa"/>
            <w:gridSpan w:val="24"/>
            <w:vMerge w:val="restart"/>
            <w:tcBorders/>
            <w:shd w:fill="auto" w:val="clear"/>
            <w:vAlign w:val="center"/>
          </w:tcPr>
          <w:p>
            <w:pPr>
              <w:pStyle w:val="Normal"/>
              <w:snapToGrid w:val="false"/>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24"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Проект</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Х</w:t>
            </w:r>
          </w:p>
        </w:tc>
      </w:tr>
      <w:tr>
        <w:trPr>
          <w:trHeight w:val="375" w:hRule="atLeast"/>
        </w:trPr>
        <w:tc>
          <w:tcPr>
            <w:tcW w:w="13391" w:type="dxa"/>
            <w:gridSpan w:val="24"/>
            <w:vMerge w:val="continue"/>
            <w:tcBorders/>
            <w:shd w:fill="auto" w:val="clear"/>
            <w:vAlign w:val="center"/>
          </w:tcPr>
          <w:p>
            <w:pPr>
              <w:pStyle w:val="Normal"/>
              <w:widowControl/>
              <w:bidi w:val="0"/>
              <w:spacing w:lineRule="auto" w:line="276" w:before="0" w:after="200"/>
              <w:jc w:val="left"/>
              <w:rPr/>
            </w:pPr>
            <w:r>
              <w:rPr/>
            </w:r>
          </w:p>
        </w:tc>
        <w:tc>
          <w:tcPr>
            <w:tcW w:w="1024"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Попереднiй</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r>
      <w:tr>
        <w:trPr>
          <w:trHeight w:val="375" w:hRule="atLeast"/>
        </w:trPr>
        <w:tc>
          <w:tcPr>
            <w:tcW w:w="13391" w:type="dxa"/>
            <w:gridSpan w:val="24"/>
            <w:vMerge w:val="continue"/>
            <w:tcBorders/>
            <w:shd w:fill="auto" w:val="clear"/>
            <w:vAlign w:val="center"/>
          </w:tcPr>
          <w:p>
            <w:pPr>
              <w:pStyle w:val="Normal"/>
              <w:widowControl/>
              <w:bidi w:val="0"/>
              <w:spacing w:lineRule="auto" w:line="276" w:before="0" w:after="200"/>
              <w:jc w:val="left"/>
              <w:rPr/>
            </w:pPr>
            <w:r>
              <w:rPr/>
            </w:r>
          </w:p>
        </w:tc>
        <w:tc>
          <w:tcPr>
            <w:tcW w:w="1024"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Уточнений</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r>
      <w:tr>
        <w:trPr>
          <w:trHeight w:val="375" w:hRule="atLeast"/>
        </w:trPr>
        <w:tc>
          <w:tcPr>
            <w:tcW w:w="13391" w:type="dxa"/>
            <w:gridSpan w:val="24"/>
            <w:vMerge w:val="continue"/>
            <w:tcBorders/>
            <w:shd w:fill="auto" w:val="clear"/>
            <w:vAlign w:val="center"/>
          </w:tcPr>
          <w:p>
            <w:pPr>
              <w:pStyle w:val="Normal"/>
              <w:widowControl/>
              <w:bidi w:val="0"/>
              <w:spacing w:lineRule="auto" w:line="276" w:before="0" w:after="200"/>
              <w:jc w:val="left"/>
              <w:rPr/>
            </w:pPr>
            <w:r>
              <w:rPr/>
            </w:r>
          </w:p>
        </w:tc>
        <w:tc>
          <w:tcPr>
            <w:tcW w:w="1024"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Змiни</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r>
      <w:tr>
        <w:trPr>
          <w:trHeight w:val="375" w:hRule="atLeast"/>
        </w:trPr>
        <w:tc>
          <w:tcPr>
            <w:tcW w:w="13391" w:type="dxa"/>
            <w:gridSpan w:val="24"/>
            <w:vMerge w:val="continue"/>
            <w:tcBorders/>
            <w:shd w:fill="auto" w:val="clear"/>
            <w:vAlign w:val="center"/>
          </w:tcPr>
          <w:p>
            <w:pPr>
              <w:pStyle w:val="Normal"/>
              <w:widowControl/>
              <w:bidi w:val="0"/>
              <w:spacing w:lineRule="auto" w:line="276" w:before="0" w:after="200"/>
              <w:jc w:val="left"/>
              <w:rPr/>
            </w:pPr>
            <w:r>
              <w:rPr/>
            </w:r>
          </w:p>
        </w:tc>
        <w:tc>
          <w:tcPr>
            <w:tcW w:w="1982"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зробити позначку "Х"</w:t>
            </w:r>
          </w:p>
        </w:tc>
      </w:tr>
      <w:tr>
        <w:trPr>
          <w:trHeight w:val="375" w:hRule="atLeast"/>
        </w:trPr>
        <w:tc>
          <w:tcPr>
            <w:tcW w:w="3344" w:type="dxa"/>
            <w:tcBorders/>
            <w:shd w:fill="auto" w:val="clear"/>
            <w:vAlign w:val="center"/>
          </w:tcPr>
          <w:p>
            <w:pPr>
              <w:pStyle w:val="Normal"/>
              <w:snapToGrid w:val="false"/>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60" w:type="dxa"/>
            <w:tcBorders/>
            <w:shd w:fill="auto" w:val="clear"/>
            <w:vAlign w:val="center"/>
          </w:tcPr>
          <w:p>
            <w:pPr>
              <w:pStyle w:val="Normal"/>
              <w:snapToGrid w:val="false"/>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4818" w:type="dxa"/>
            <w:gridSpan w:val="4"/>
            <w:tcBorders/>
            <w:shd w:fill="auto" w:val="clear"/>
            <w:vAlign w:val="center"/>
          </w:tcPr>
          <w:p>
            <w:pPr>
              <w:pStyle w:val="Normal"/>
              <w:snapToGrid w:val="false"/>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176" w:type="dxa"/>
            <w:gridSpan w:val="5"/>
            <w:tcBorders/>
            <w:shd w:fill="auto" w:val="clear"/>
            <w:vAlign w:val="center"/>
          </w:tcPr>
          <w:p>
            <w:pPr>
              <w:pStyle w:val="Normal"/>
              <w:snapToGrid w:val="false"/>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5975" w:type="dxa"/>
            <w:gridSpan w:val="1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Коди</w:t>
            </w:r>
          </w:p>
        </w:tc>
      </w:tr>
      <w:tr>
        <w:trPr>
          <w:trHeight w:val="375" w:hRule="atLeast"/>
        </w:trPr>
        <w:tc>
          <w:tcPr>
            <w:tcW w:w="33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xml:space="preserve">Пiдприємство  </w:t>
            </w:r>
          </w:p>
        </w:tc>
        <w:tc>
          <w:tcPr>
            <w:tcW w:w="60" w:type="dxa"/>
            <w:tcBorders>
              <w:top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4818" w:type="dxa"/>
            <w:gridSpan w:val="4"/>
            <w:tcBorders>
              <w:top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176" w:type="dxa"/>
            <w:gridSpan w:val="5"/>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xml:space="preserve">за ЄДРПОУ </w:t>
            </w:r>
          </w:p>
        </w:tc>
        <w:tc>
          <w:tcPr>
            <w:tcW w:w="5975" w:type="dxa"/>
            <w:gridSpan w:val="1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r>
              <w:rPr>
                <w:rFonts w:cs="Times New Roman" w:ascii="Times New Roman" w:hAnsi="Times New Roman"/>
                <w:sz w:val="20"/>
                <w:szCs w:val="20"/>
                <w:lang w:val="uk-UA" w:eastAsia="uk-UA"/>
              </w:rPr>
              <w:t>03337929</w:t>
            </w:r>
          </w:p>
        </w:tc>
      </w:tr>
      <w:tr>
        <w:trPr>
          <w:trHeight w:val="375" w:hRule="atLeast"/>
        </w:trPr>
        <w:tc>
          <w:tcPr>
            <w:tcW w:w="9394" w:type="dxa"/>
            <w:gridSpan w:val="9"/>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xml:space="preserve">Органiзацiйно-правова форма </w:t>
            </w:r>
          </w:p>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260"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за КОПФГ</w:t>
            </w:r>
          </w:p>
        </w:tc>
        <w:tc>
          <w:tcPr>
            <w:tcW w:w="4719" w:type="dxa"/>
            <w:gridSpan w:val="1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150</w:t>
            </w:r>
          </w:p>
        </w:tc>
      </w:tr>
      <w:tr>
        <w:trPr>
          <w:trHeight w:val="375" w:hRule="atLeast"/>
        </w:trPr>
        <w:tc>
          <w:tcPr>
            <w:tcW w:w="33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Територiя</w:t>
            </w:r>
          </w:p>
        </w:tc>
        <w:tc>
          <w:tcPr>
            <w:tcW w:w="60" w:type="dxa"/>
            <w:tcBorders>
              <w:top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r>
              <w:rPr>
                <w:rFonts w:cs="Times New Roman" w:ascii="Times New Roman" w:hAnsi="Times New Roman"/>
                <w:sz w:val="20"/>
                <w:szCs w:val="20"/>
                <w:lang w:val="uk-UA" w:eastAsia="uk-UA"/>
              </w:rPr>
              <w:t>Львівська</w:t>
            </w:r>
          </w:p>
        </w:tc>
        <w:tc>
          <w:tcPr>
            <w:tcW w:w="5991" w:type="dxa"/>
            <w:gridSpan w:val="8"/>
            <w:tcBorders>
              <w:top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261"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за КОАТУУ</w:t>
            </w:r>
          </w:p>
        </w:tc>
        <w:tc>
          <w:tcPr>
            <w:tcW w:w="4717" w:type="dxa"/>
            <w:gridSpan w:val="1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4611800000 </w:t>
            </w:r>
          </w:p>
        </w:tc>
      </w:tr>
      <w:tr>
        <w:trPr>
          <w:trHeight w:val="375" w:hRule="atLeast"/>
        </w:trPr>
        <w:tc>
          <w:tcPr>
            <w:tcW w:w="9394" w:type="dxa"/>
            <w:gridSpan w:val="9"/>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pPr>
            <w:r>
              <w:rPr>
                <w:rFonts w:cs="Times New Roman" w:ascii="Times New Roman" w:hAnsi="Times New Roman"/>
                <w:sz w:val="20"/>
                <w:szCs w:val="20"/>
                <w:lang w:val="uk-UA" w:eastAsia="uk-UA"/>
              </w:rPr>
              <w:t xml:space="preserve">Орган              державного управлiння  </w:t>
            </w:r>
            <w:r>
              <w:rPr>
                <w:rFonts w:cs="Times New Roman" w:ascii="Times New Roman" w:hAnsi="Times New Roman"/>
                <w:b/>
                <w:bCs/>
                <w:i/>
                <w:iCs/>
                <w:sz w:val="20"/>
                <w:szCs w:val="20"/>
                <w:lang w:val="uk-UA" w:eastAsia="uk-UA"/>
              </w:rPr>
              <w:t xml:space="preserve"> </w:t>
            </w:r>
            <w:r>
              <w:rPr>
                <w:rFonts w:cs="Times New Roman" w:ascii="Times New Roman" w:hAnsi="Times New Roman"/>
                <w:sz w:val="20"/>
                <w:szCs w:val="20"/>
                <w:lang w:val="uk-UA" w:eastAsia="uk-UA"/>
              </w:rPr>
              <w:t> </w:t>
            </w:r>
          </w:p>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260"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за СПОДУ</w:t>
            </w:r>
          </w:p>
        </w:tc>
        <w:tc>
          <w:tcPr>
            <w:tcW w:w="4719" w:type="dxa"/>
            <w:gridSpan w:val="1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r>
      <w:tr>
        <w:trPr>
          <w:trHeight w:val="375" w:hRule="atLeast"/>
        </w:trPr>
        <w:tc>
          <w:tcPr>
            <w:tcW w:w="33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xml:space="preserve">Галузь     </w:t>
            </w:r>
          </w:p>
        </w:tc>
        <w:tc>
          <w:tcPr>
            <w:tcW w:w="60" w:type="dxa"/>
            <w:tcBorders>
              <w:top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4818" w:type="dxa"/>
            <w:gridSpan w:val="4"/>
            <w:tcBorders>
              <w:top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176" w:type="dxa"/>
            <w:gridSpan w:val="5"/>
            <w:tcBorders>
              <w:top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261"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за ЗКГНГ</w:t>
            </w:r>
          </w:p>
        </w:tc>
        <w:tc>
          <w:tcPr>
            <w:tcW w:w="4714" w:type="dxa"/>
            <w:gridSpan w:val="1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r>
      <w:tr>
        <w:trPr>
          <w:trHeight w:val="375" w:hRule="atLeast"/>
        </w:trPr>
        <w:tc>
          <w:tcPr>
            <w:tcW w:w="33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xml:space="preserve">Вид економiчної дiяльностi    </w:t>
            </w:r>
          </w:p>
        </w:tc>
        <w:tc>
          <w:tcPr>
            <w:tcW w:w="6051" w:type="dxa"/>
            <w:gridSpan w:val="9"/>
            <w:tcBorders>
              <w:top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r>
              <w:rPr>
                <w:rFonts w:cs="Times New Roman" w:ascii="Times New Roman" w:hAnsi="Times New Roman"/>
                <w:sz w:val="20"/>
                <w:szCs w:val="20"/>
                <w:lang w:val="uk-UA" w:eastAsia="uk-UA"/>
              </w:rPr>
              <w:t>Надання в оренду комунального  майна</w:t>
            </w:r>
          </w:p>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261" w:type="dxa"/>
            <w:gridSpan w:val="4"/>
            <w:tcBorders>
              <w:left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xml:space="preserve">за  КВЕД  </w:t>
            </w:r>
          </w:p>
        </w:tc>
        <w:tc>
          <w:tcPr>
            <w:tcW w:w="4717" w:type="dxa"/>
            <w:gridSpan w:val="1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r>
              <w:rPr>
                <w:rFonts w:cs="Times New Roman" w:ascii="Times New Roman" w:hAnsi="Times New Roman"/>
                <w:sz w:val="20"/>
                <w:szCs w:val="20"/>
                <w:lang w:val="uk-UA" w:eastAsia="uk-UA"/>
              </w:rPr>
              <w:t>68.20</w:t>
            </w:r>
          </w:p>
        </w:tc>
      </w:tr>
      <w:tr>
        <w:trPr>
          <w:trHeight w:val="630" w:hRule="atLeast"/>
        </w:trPr>
        <w:tc>
          <w:tcPr>
            <w:tcW w:w="33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Одиниця вимiру, грн.</w:t>
            </w:r>
          </w:p>
        </w:tc>
        <w:tc>
          <w:tcPr>
            <w:tcW w:w="60" w:type="dxa"/>
            <w:tcBorders>
              <w:top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4818" w:type="dxa"/>
            <w:gridSpan w:val="4"/>
            <w:tcBorders>
              <w:top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Стандарти звiтностi П(с)БОУ</w:t>
            </w:r>
          </w:p>
        </w:tc>
        <w:tc>
          <w:tcPr>
            <w:tcW w:w="7151" w:type="dxa"/>
            <w:gridSpan w:val="21"/>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Х</w:t>
            </w:r>
          </w:p>
        </w:tc>
      </w:tr>
      <w:tr>
        <w:trPr>
          <w:trHeight w:val="375" w:hRule="atLeast"/>
        </w:trPr>
        <w:tc>
          <w:tcPr>
            <w:tcW w:w="33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Форма власностi</w:t>
            </w:r>
          </w:p>
        </w:tc>
        <w:tc>
          <w:tcPr>
            <w:tcW w:w="60" w:type="dxa"/>
            <w:tcBorders>
              <w:top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4818" w:type="dxa"/>
            <w:gridSpan w:val="4"/>
            <w:tcBorders>
              <w:top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Стандарти звiтностi МСФЗ</w:t>
            </w:r>
          </w:p>
        </w:tc>
        <w:tc>
          <w:tcPr>
            <w:tcW w:w="7151" w:type="dxa"/>
            <w:gridSpan w:val="21"/>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r>
      <w:tr>
        <w:trPr>
          <w:trHeight w:val="375" w:hRule="atLeast"/>
        </w:trPr>
        <w:tc>
          <w:tcPr>
            <w:tcW w:w="10654" w:type="dxa"/>
            <w:gridSpan w:val="13"/>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Середньооблiкова кiлькiсть штатних працiвникiв </w:t>
            </w:r>
          </w:p>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4719" w:type="dxa"/>
            <w:gridSpan w:val="1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pPr>
            <w:r>
              <w:rPr>
                <w:rFonts w:cs="Times New Roman" w:ascii="Times New Roman" w:hAnsi="Times New Roman"/>
                <w:sz w:val="20"/>
                <w:szCs w:val="20"/>
                <w:lang w:val="uk-UA" w:eastAsia="uk-UA"/>
              </w:rPr>
              <w:t>31</w:t>
            </w:r>
          </w:p>
        </w:tc>
      </w:tr>
      <w:tr>
        <w:trPr>
          <w:trHeight w:val="375" w:hRule="atLeast"/>
        </w:trPr>
        <w:tc>
          <w:tcPr>
            <w:tcW w:w="15373" w:type="dxa"/>
            <w:gridSpan w:val="2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Мiсцезнаходження  м. Червоноград  вул. Сокальська 5 </w:t>
            </w:r>
          </w:p>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r>
      <w:tr>
        <w:trPr>
          <w:trHeight w:val="375" w:hRule="atLeast"/>
        </w:trPr>
        <w:tc>
          <w:tcPr>
            <w:tcW w:w="33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xml:space="preserve">Телефон </w:t>
            </w:r>
          </w:p>
        </w:tc>
        <w:tc>
          <w:tcPr>
            <w:tcW w:w="60" w:type="dxa"/>
            <w:tcBorders>
              <w:top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4818" w:type="dxa"/>
            <w:gridSpan w:val="4"/>
            <w:tcBorders>
              <w:top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176" w:type="dxa"/>
            <w:gridSpan w:val="5"/>
            <w:tcBorders>
              <w:top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261" w:type="dxa"/>
            <w:gridSpan w:val="4"/>
            <w:tcBorders>
              <w:top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4714" w:type="dxa"/>
            <w:gridSpan w:val="1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r>
      <w:tr>
        <w:trPr>
          <w:trHeight w:val="375" w:hRule="atLeast"/>
        </w:trPr>
        <w:tc>
          <w:tcPr>
            <w:tcW w:w="3405" w:type="dxa"/>
            <w:gridSpan w:val="3"/>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Керiвник (Директор ) Воєвода С.Г</w:t>
            </w:r>
          </w:p>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4820" w:type="dxa"/>
            <w:gridSpan w:val="4"/>
            <w:tcBorders>
              <w:top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175" w:type="dxa"/>
            <w:gridSpan w:val="5"/>
            <w:tcBorders>
              <w:top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261" w:type="dxa"/>
            <w:gridSpan w:val="4"/>
            <w:tcBorders>
              <w:top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4712" w:type="dxa"/>
            <w:gridSpan w:val="11"/>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r>
      <w:tr>
        <w:trPr>
          <w:trHeight w:val="375" w:hRule="atLeast"/>
        </w:trPr>
        <w:tc>
          <w:tcPr>
            <w:tcW w:w="7515" w:type="dxa"/>
            <w:gridSpan w:val="4"/>
            <w:tcBorders/>
            <w:shd w:fill="auto" w:val="clear"/>
            <w:vAlign w:val="center"/>
          </w:tcPr>
          <w:p>
            <w:pPr>
              <w:pStyle w:val="Normal"/>
              <w:snapToGrid w:val="false"/>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704" w:type="dxa"/>
            <w:tcBorders/>
            <w:shd w:fill="auto" w:val="clear"/>
            <w:vAlign w:val="center"/>
          </w:tcPr>
          <w:p>
            <w:pPr>
              <w:pStyle w:val="Normal"/>
              <w:snapToGrid w:val="false"/>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142" w:type="dxa"/>
            <w:gridSpan w:val="3"/>
            <w:tcBorders/>
            <w:shd w:fill="auto" w:val="clear"/>
            <w:vAlign w:val="center"/>
          </w:tcPr>
          <w:p>
            <w:pPr>
              <w:pStyle w:val="Normal"/>
              <w:snapToGrid w:val="false"/>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330" w:type="dxa"/>
            <w:gridSpan w:val="9"/>
            <w:tcBorders/>
            <w:shd w:fill="auto" w:val="clear"/>
            <w:vAlign w:val="center"/>
          </w:tcPr>
          <w:p>
            <w:pPr>
              <w:pStyle w:val="Normal"/>
              <w:snapToGrid w:val="false"/>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818" w:type="dxa"/>
            <w:tcBorders/>
            <w:shd w:fill="auto" w:val="clear"/>
            <w:vAlign w:val="center"/>
          </w:tcPr>
          <w:p>
            <w:pPr>
              <w:pStyle w:val="Normal"/>
              <w:snapToGrid w:val="false"/>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30" w:type="dxa"/>
            <w:gridSpan w:val="3"/>
            <w:tcBorders/>
            <w:shd w:fill="auto" w:val="clear"/>
            <w:vAlign w:val="center"/>
          </w:tcPr>
          <w:p>
            <w:pPr>
              <w:pStyle w:val="Normal"/>
              <w:snapToGrid w:val="false"/>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849" w:type="dxa"/>
            <w:gridSpan w:val="2"/>
            <w:tcBorders/>
            <w:shd w:fill="auto" w:val="clear"/>
            <w:vAlign w:val="center"/>
          </w:tcPr>
          <w:p>
            <w:pPr>
              <w:pStyle w:val="Normal"/>
              <w:snapToGrid w:val="false"/>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27" w:type="dxa"/>
            <w:gridSpan w:val="3"/>
            <w:tcBorders/>
            <w:shd w:fill="auto" w:val="clear"/>
            <w:vAlign w:val="center"/>
          </w:tcPr>
          <w:p>
            <w:pPr>
              <w:pStyle w:val="Normal"/>
              <w:snapToGrid w:val="false"/>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958" w:type="dxa"/>
            <w:tcBorders/>
            <w:shd w:fill="auto" w:val="clear"/>
            <w:vAlign w:val="center"/>
          </w:tcPr>
          <w:p>
            <w:pPr>
              <w:pStyle w:val="Normal"/>
              <w:snapToGrid w:val="false"/>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r>
      <w:tr>
        <w:trPr>
          <w:trHeight w:val="375" w:hRule="atLeast"/>
        </w:trPr>
        <w:tc>
          <w:tcPr>
            <w:tcW w:w="15373" w:type="dxa"/>
            <w:gridSpan w:val="27"/>
            <w:tcBorders/>
            <w:shd w:fill="auto"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 xml:space="preserve"> </w:t>
            </w:r>
            <w:r>
              <w:rPr>
                <w:rFonts w:cs="Times New Roman" w:ascii="Times New Roman" w:hAnsi="Times New Roman"/>
                <w:b/>
                <w:bCs/>
                <w:sz w:val="20"/>
                <w:szCs w:val="20"/>
                <w:lang w:val="uk-UA" w:eastAsia="uk-UA"/>
              </w:rPr>
              <w:t xml:space="preserve">Проект фінансового  плану  КП Червоноградський ринок  на 2024 року </w:t>
            </w:r>
          </w:p>
        </w:tc>
      </w:tr>
      <w:tr>
        <w:trPr>
          <w:trHeight w:val="375" w:hRule="atLeast"/>
        </w:trPr>
        <w:tc>
          <w:tcPr>
            <w:tcW w:w="15373" w:type="dxa"/>
            <w:gridSpan w:val="27"/>
            <w:tcBorders/>
            <w:shd w:fill="auto" w:val="clear"/>
            <w:vAlign w:val="center"/>
          </w:tcPr>
          <w:p>
            <w:pPr>
              <w:pStyle w:val="Normal"/>
              <w:snapToGrid w:val="false"/>
              <w:spacing w:lineRule="auto" w:line="240" w:before="0" w:after="0"/>
              <w:jc w:val="center"/>
              <w:rPr>
                <w:rFonts w:ascii="Times New Roman" w:hAnsi="Times New Roman" w:cs="Times New Roman"/>
                <w:b/>
                <w:b/>
                <w:bCs/>
                <w:sz w:val="20"/>
                <w:szCs w:val="20"/>
                <w:lang w:val="uk-UA" w:eastAsia="uk-UA"/>
              </w:rPr>
            </w:pPr>
            <w:r>
              <w:rPr>
                <w:rFonts w:cs="Times New Roman" w:ascii="Times New Roman" w:hAnsi="Times New Roman"/>
                <w:b/>
                <w:bCs/>
                <w:sz w:val="20"/>
                <w:szCs w:val="20"/>
                <w:lang w:val="uk-UA" w:eastAsia="uk-UA"/>
              </w:rPr>
            </w:r>
          </w:p>
        </w:tc>
      </w:tr>
      <w:tr>
        <w:trPr>
          <w:trHeight w:val="375" w:hRule="atLeast"/>
        </w:trPr>
        <w:tc>
          <w:tcPr>
            <w:tcW w:w="7515" w:type="dxa"/>
            <w:gridSpan w:val="4"/>
            <w:tcBorders/>
            <w:shd w:fill="auto" w:val="clear"/>
            <w:vAlign w:val="center"/>
          </w:tcPr>
          <w:p>
            <w:pPr>
              <w:pStyle w:val="Normal"/>
              <w:snapToGrid w:val="false"/>
              <w:spacing w:lineRule="auto" w:line="240" w:before="0" w:after="0"/>
              <w:jc w:val="center"/>
              <w:rPr>
                <w:rFonts w:ascii="Times New Roman" w:hAnsi="Times New Roman" w:cs="Times New Roman"/>
                <w:b/>
                <w:b/>
                <w:bCs/>
                <w:sz w:val="20"/>
                <w:szCs w:val="20"/>
                <w:lang w:val="uk-UA" w:eastAsia="uk-UA"/>
              </w:rPr>
            </w:pPr>
            <w:r>
              <w:rPr>
                <w:rFonts w:cs="Times New Roman" w:ascii="Times New Roman" w:hAnsi="Times New Roman"/>
                <w:b/>
                <w:bCs/>
                <w:sz w:val="20"/>
                <w:szCs w:val="20"/>
                <w:lang w:val="uk-UA" w:eastAsia="uk-UA"/>
              </w:rPr>
            </w:r>
          </w:p>
        </w:tc>
        <w:tc>
          <w:tcPr>
            <w:tcW w:w="704" w:type="dxa"/>
            <w:tcBorders/>
            <w:shd w:fill="auto" w:val="clear"/>
            <w:vAlign w:val="center"/>
          </w:tcPr>
          <w:p>
            <w:pPr>
              <w:pStyle w:val="Normal"/>
              <w:snapToGrid w:val="false"/>
              <w:spacing w:lineRule="auto" w:line="240" w:before="0" w:after="0"/>
              <w:jc w:val="center"/>
              <w:rPr>
                <w:rFonts w:ascii="Times New Roman" w:hAnsi="Times New Roman" w:cs="Times New Roman"/>
                <w:b/>
                <w:b/>
                <w:bCs/>
                <w:sz w:val="20"/>
                <w:szCs w:val="20"/>
                <w:lang w:val="uk-UA" w:eastAsia="uk-UA"/>
              </w:rPr>
            </w:pPr>
            <w:r>
              <w:rPr>
                <w:rFonts w:cs="Times New Roman" w:ascii="Times New Roman" w:hAnsi="Times New Roman"/>
                <w:b/>
                <w:bCs/>
                <w:sz w:val="20"/>
                <w:szCs w:val="20"/>
                <w:lang w:val="uk-UA" w:eastAsia="uk-UA"/>
              </w:rPr>
            </w:r>
          </w:p>
        </w:tc>
        <w:tc>
          <w:tcPr>
            <w:tcW w:w="1142" w:type="dxa"/>
            <w:gridSpan w:val="3"/>
            <w:tcBorders/>
            <w:shd w:fill="auto" w:val="clear"/>
            <w:vAlign w:val="center"/>
          </w:tcPr>
          <w:p>
            <w:pPr>
              <w:pStyle w:val="Normal"/>
              <w:snapToGrid w:val="false"/>
              <w:spacing w:lineRule="auto" w:line="240" w:before="0" w:after="0"/>
              <w:jc w:val="center"/>
              <w:rPr>
                <w:rFonts w:ascii="Times New Roman" w:hAnsi="Times New Roman" w:cs="Times New Roman"/>
                <w:b/>
                <w:b/>
                <w:bCs/>
                <w:sz w:val="20"/>
                <w:szCs w:val="20"/>
                <w:lang w:val="uk-UA" w:eastAsia="uk-UA"/>
              </w:rPr>
            </w:pPr>
            <w:r>
              <w:rPr>
                <w:rFonts w:cs="Times New Roman" w:ascii="Times New Roman" w:hAnsi="Times New Roman"/>
                <w:b/>
                <w:bCs/>
                <w:sz w:val="20"/>
                <w:szCs w:val="20"/>
                <w:lang w:val="uk-UA" w:eastAsia="uk-UA"/>
              </w:rPr>
            </w:r>
          </w:p>
        </w:tc>
        <w:tc>
          <w:tcPr>
            <w:tcW w:w="1330" w:type="dxa"/>
            <w:gridSpan w:val="9"/>
            <w:tcBorders/>
            <w:shd w:fill="auto" w:val="clear"/>
            <w:vAlign w:val="center"/>
          </w:tcPr>
          <w:p>
            <w:pPr>
              <w:pStyle w:val="Normal"/>
              <w:snapToGrid w:val="false"/>
              <w:spacing w:lineRule="auto" w:line="240" w:before="0" w:after="0"/>
              <w:jc w:val="center"/>
              <w:rPr>
                <w:rFonts w:ascii="Times New Roman" w:hAnsi="Times New Roman" w:cs="Times New Roman"/>
                <w:b/>
                <w:b/>
                <w:bCs/>
                <w:sz w:val="20"/>
                <w:szCs w:val="20"/>
                <w:lang w:val="uk-UA" w:eastAsia="uk-UA"/>
              </w:rPr>
            </w:pPr>
            <w:r>
              <w:rPr>
                <w:rFonts w:cs="Times New Roman" w:ascii="Times New Roman" w:hAnsi="Times New Roman"/>
                <w:b/>
                <w:bCs/>
                <w:sz w:val="20"/>
                <w:szCs w:val="20"/>
                <w:lang w:val="uk-UA" w:eastAsia="uk-UA"/>
              </w:rPr>
            </w:r>
          </w:p>
        </w:tc>
        <w:tc>
          <w:tcPr>
            <w:tcW w:w="818" w:type="dxa"/>
            <w:tcBorders/>
            <w:shd w:fill="auto" w:val="clear"/>
            <w:vAlign w:val="center"/>
          </w:tcPr>
          <w:p>
            <w:pPr>
              <w:pStyle w:val="Normal"/>
              <w:snapToGrid w:val="false"/>
              <w:spacing w:lineRule="auto" w:line="240" w:before="0" w:after="0"/>
              <w:jc w:val="center"/>
              <w:rPr>
                <w:rFonts w:ascii="Times New Roman" w:hAnsi="Times New Roman" w:cs="Times New Roman"/>
                <w:b/>
                <w:b/>
                <w:bCs/>
                <w:sz w:val="20"/>
                <w:szCs w:val="20"/>
                <w:lang w:val="uk-UA" w:eastAsia="uk-UA"/>
              </w:rPr>
            </w:pPr>
            <w:r>
              <w:rPr>
                <w:rFonts w:cs="Times New Roman" w:ascii="Times New Roman" w:hAnsi="Times New Roman"/>
                <w:b/>
                <w:bCs/>
                <w:sz w:val="20"/>
                <w:szCs w:val="20"/>
                <w:lang w:val="uk-UA" w:eastAsia="uk-UA"/>
              </w:rPr>
            </w:r>
          </w:p>
        </w:tc>
        <w:tc>
          <w:tcPr>
            <w:tcW w:w="1030" w:type="dxa"/>
            <w:gridSpan w:val="3"/>
            <w:tcBorders/>
            <w:shd w:fill="auto" w:val="clear"/>
            <w:vAlign w:val="center"/>
          </w:tcPr>
          <w:p>
            <w:pPr>
              <w:pStyle w:val="Normal"/>
              <w:snapToGrid w:val="false"/>
              <w:spacing w:lineRule="auto" w:line="240" w:before="0" w:after="0"/>
              <w:jc w:val="center"/>
              <w:rPr>
                <w:rFonts w:ascii="Times New Roman" w:hAnsi="Times New Roman" w:cs="Times New Roman"/>
                <w:b/>
                <w:b/>
                <w:bCs/>
                <w:sz w:val="20"/>
                <w:szCs w:val="20"/>
                <w:lang w:val="uk-UA" w:eastAsia="uk-UA"/>
              </w:rPr>
            </w:pPr>
            <w:r>
              <w:rPr>
                <w:rFonts w:cs="Times New Roman" w:ascii="Times New Roman" w:hAnsi="Times New Roman"/>
                <w:b/>
                <w:bCs/>
                <w:sz w:val="20"/>
                <w:szCs w:val="20"/>
                <w:lang w:val="uk-UA" w:eastAsia="uk-UA"/>
              </w:rPr>
            </w:r>
          </w:p>
        </w:tc>
        <w:tc>
          <w:tcPr>
            <w:tcW w:w="849" w:type="dxa"/>
            <w:gridSpan w:val="2"/>
            <w:tcBorders/>
            <w:shd w:fill="auto" w:val="clear"/>
            <w:vAlign w:val="center"/>
          </w:tcPr>
          <w:p>
            <w:pPr>
              <w:pStyle w:val="Normal"/>
              <w:snapToGrid w:val="false"/>
              <w:spacing w:lineRule="auto" w:line="240" w:before="0" w:after="0"/>
              <w:jc w:val="center"/>
              <w:rPr>
                <w:rFonts w:ascii="Times New Roman" w:hAnsi="Times New Roman" w:cs="Times New Roman"/>
                <w:b/>
                <w:b/>
                <w:bCs/>
                <w:sz w:val="20"/>
                <w:szCs w:val="20"/>
                <w:lang w:val="uk-UA" w:eastAsia="uk-UA"/>
              </w:rPr>
            </w:pPr>
            <w:r>
              <w:rPr>
                <w:rFonts w:cs="Times New Roman" w:ascii="Times New Roman" w:hAnsi="Times New Roman"/>
                <w:b/>
                <w:bCs/>
                <w:sz w:val="20"/>
                <w:szCs w:val="20"/>
                <w:lang w:val="uk-UA" w:eastAsia="uk-UA"/>
              </w:rPr>
            </w:r>
          </w:p>
        </w:tc>
        <w:tc>
          <w:tcPr>
            <w:tcW w:w="1027" w:type="dxa"/>
            <w:gridSpan w:val="3"/>
            <w:tcBorders/>
            <w:shd w:fill="auto" w:val="clear"/>
            <w:vAlign w:val="center"/>
          </w:tcPr>
          <w:p>
            <w:pPr>
              <w:pStyle w:val="Normal"/>
              <w:snapToGrid w:val="false"/>
              <w:spacing w:lineRule="auto" w:line="240" w:before="0" w:after="0"/>
              <w:jc w:val="center"/>
              <w:rPr>
                <w:rFonts w:ascii="Times New Roman" w:hAnsi="Times New Roman" w:cs="Times New Roman"/>
                <w:b/>
                <w:b/>
                <w:bCs/>
                <w:sz w:val="20"/>
                <w:szCs w:val="20"/>
                <w:lang w:val="uk-UA" w:eastAsia="uk-UA"/>
              </w:rPr>
            </w:pPr>
            <w:r>
              <w:rPr>
                <w:rFonts w:cs="Times New Roman" w:ascii="Times New Roman" w:hAnsi="Times New Roman"/>
                <w:b/>
                <w:bCs/>
                <w:sz w:val="20"/>
                <w:szCs w:val="20"/>
                <w:lang w:val="uk-UA" w:eastAsia="uk-UA"/>
              </w:rPr>
            </w:r>
          </w:p>
        </w:tc>
        <w:tc>
          <w:tcPr>
            <w:tcW w:w="958" w:type="dxa"/>
            <w:tcBorders/>
            <w:shd w:fill="auto" w:val="clear"/>
            <w:vAlign w:val="center"/>
          </w:tcPr>
          <w:p>
            <w:pPr>
              <w:pStyle w:val="Normal"/>
              <w:spacing w:lineRule="auto" w:line="240" w:before="0" w:after="0"/>
              <w:jc w:val="center"/>
              <w:rPr>
                <w:rFonts w:ascii="Times New Roman" w:hAnsi="Times New Roman" w:cs="Times New Roman"/>
                <w:b/>
                <w:b/>
                <w:bCs/>
                <w:sz w:val="20"/>
                <w:szCs w:val="20"/>
                <w:lang w:val="uk-UA" w:eastAsia="uk-UA"/>
              </w:rPr>
            </w:pPr>
            <w:r>
              <w:rPr>
                <w:rFonts w:cs="Times New Roman" w:ascii="Times New Roman" w:hAnsi="Times New Roman"/>
                <w:b/>
                <w:bCs/>
                <w:sz w:val="20"/>
                <w:szCs w:val="20"/>
                <w:lang w:val="uk-UA" w:eastAsia="uk-UA"/>
              </w:rPr>
              <w:t>тис. грн.</w:t>
            </w:r>
          </w:p>
        </w:tc>
      </w:tr>
      <w:tr>
        <w:trPr>
          <w:trHeight w:val="720" w:hRule="atLeast"/>
        </w:trPr>
        <w:tc>
          <w:tcPr>
            <w:tcW w:w="33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Найменування показника</w:t>
            </w:r>
          </w:p>
        </w:tc>
        <w:tc>
          <w:tcPr>
            <w:tcW w:w="4878" w:type="dxa"/>
            <w:gridSpan w:val="5"/>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xml:space="preserve">Код рядка </w:t>
            </w:r>
          </w:p>
        </w:tc>
        <w:tc>
          <w:tcPr>
            <w:tcW w:w="1176" w:type="dxa"/>
            <w:gridSpan w:val="5"/>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Факт минулого року</w:t>
            </w:r>
          </w:p>
          <w:p>
            <w:pPr>
              <w:pStyle w:val="Normal"/>
              <w:spacing w:lineRule="auto" w:line="240" w:before="0" w:after="0"/>
              <w:jc w:val="center"/>
              <w:rPr/>
            </w:pPr>
            <w:r>
              <w:rPr>
                <w:rFonts w:cs="Times New Roman" w:ascii="Times New Roman" w:hAnsi="Times New Roman"/>
                <w:sz w:val="20"/>
                <w:szCs w:val="20"/>
                <w:lang w:val="uk-UA" w:eastAsia="uk-UA"/>
              </w:rPr>
              <w:t>2022</w:t>
            </w:r>
          </w:p>
        </w:tc>
        <w:tc>
          <w:tcPr>
            <w:tcW w:w="1261"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xml:space="preserve"> </w:t>
            </w:r>
            <w:r>
              <w:rPr>
                <w:rFonts w:cs="Times New Roman" w:ascii="Times New Roman" w:hAnsi="Times New Roman"/>
                <w:sz w:val="20"/>
                <w:szCs w:val="20"/>
                <w:lang w:val="uk-UA" w:eastAsia="uk-UA"/>
              </w:rPr>
              <w:t xml:space="preserve">план поточного року </w:t>
            </w:r>
          </w:p>
          <w:p>
            <w:pPr>
              <w:pStyle w:val="Normal"/>
              <w:spacing w:lineRule="auto" w:line="240" w:before="0" w:after="0"/>
              <w:jc w:val="center"/>
              <w:rPr/>
            </w:pPr>
            <w:r>
              <w:rPr>
                <w:rFonts w:cs="Times New Roman" w:ascii="Times New Roman" w:hAnsi="Times New Roman"/>
                <w:sz w:val="20"/>
                <w:szCs w:val="20"/>
                <w:lang w:val="uk-UA" w:eastAsia="uk-UA"/>
              </w:rPr>
              <w:t xml:space="preserve"> </w:t>
            </w:r>
            <w:r>
              <w:rPr>
                <w:rFonts w:cs="Times New Roman" w:ascii="Times New Roman" w:hAnsi="Times New Roman"/>
                <w:sz w:val="20"/>
                <w:szCs w:val="20"/>
                <w:lang w:val="uk-UA" w:eastAsia="uk-UA"/>
              </w:rPr>
              <w:t>2023</w:t>
            </w:r>
          </w:p>
        </w:tc>
        <w:tc>
          <w:tcPr>
            <w:tcW w:w="4714" w:type="dxa"/>
            <w:gridSpan w:val="1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pPr>
            <w:r>
              <w:rPr>
                <w:rFonts w:cs="Times New Roman" w:ascii="Times New Roman" w:hAnsi="Times New Roman"/>
                <w:sz w:val="20"/>
                <w:szCs w:val="20"/>
                <w:lang w:val="uk-UA" w:eastAsia="uk-UA"/>
              </w:rPr>
              <w:t xml:space="preserve">Плановий рiк  2024 (усього)У тому числi за кварталами </w:t>
            </w:r>
          </w:p>
        </w:tc>
      </w:tr>
      <w:tr>
        <w:trPr>
          <w:trHeight w:val="1230" w:hRule="atLeast"/>
        </w:trPr>
        <w:tc>
          <w:tcPr>
            <w:tcW w:w="10691" w:type="dxa"/>
            <w:gridSpan w:val="17"/>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81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30" w:type="dxa"/>
            <w:gridSpan w:val="3"/>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xml:space="preserve">I  </w:t>
            </w:r>
          </w:p>
        </w:tc>
        <w:tc>
          <w:tcPr>
            <w:tcW w:w="849"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xml:space="preserve">II  </w:t>
            </w:r>
          </w:p>
        </w:tc>
        <w:tc>
          <w:tcPr>
            <w:tcW w:w="1027" w:type="dxa"/>
            <w:gridSpan w:val="3"/>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xml:space="preserve">III  </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xml:space="preserve">IV </w:t>
            </w:r>
          </w:p>
        </w:tc>
      </w:tr>
      <w:tr>
        <w:trPr>
          <w:trHeight w:val="360"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1</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2</w:t>
            </w:r>
          </w:p>
        </w:tc>
        <w:tc>
          <w:tcPr>
            <w:tcW w:w="1142" w:type="dxa"/>
            <w:gridSpan w:val="3"/>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3</w:t>
            </w:r>
          </w:p>
        </w:tc>
        <w:tc>
          <w:tcPr>
            <w:tcW w:w="1330" w:type="dxa"/>
            <w:gridSpan w:val="9"/>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4</w:t>
            </w:r>
          </w:p>
        </w:tc>
        <w:tc>
          <w:tcPr>
            <w:tcW w:w="81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5</w:t>
            </w:r>
          </w:p>
        </w:tc>
        <w:tc>
          <w:tcPr>
            <w:tcW w:w="1030" w:type="dxa"/>
            <w:gridSpan w:val="3"/>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6</w:t>
            </w:r>
          </w:p>
        </w:tc>
        <w:tc>
          <w:tcPr>
            <w:tcW w:w="849"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7</w:t>
            </w:r>
          </w:p>
        </w:tc>
        <w:tc>
          <w:tcPr>
            <w:tcW w:w="1027" w:type="dxa"/>
            <w:gridSpan w:val="3"/>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8</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9</w:t>
            </w:r>
          </w:p>
        </w:tc>
      </w:tr>
      <w:tr>
        <w:trPr>
          <w:trHeight w:val="360" w:hRule="atLeast"/>
        </w:trPr>
        <w:tc>
          <w:tcPr>
            <w:tcW w:w="15373" w:type="dxa"/>
            <w:gridSpan w:val="2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cs="Times New Roman"/>
                <w:b/>
                <w:b/>
                <w:bCs/>
                <w:sz w:val="20"/>
                <w:szCs w:val="20"/>
                <w:lang w:val="uk-UA" w:eastAsia="uk-UA"/>
              </w:rPr>
            </w:pPr>
            <w:r>
              <w:rPr>
                <w:rFonts w:cs="Times New Roman" w:ascii="Times New Roman" w:hAnsi="Times New Roman"/>
                <w:b/>
                <w:bCs/>
                <w:sz w:val="20"/>
                <w:szCs w:val="20"/>
                <w:lang w:val="uk-UA" w:eastAsia="uk-UA"/>
              </w:rPr>
              <w:t>I. Фiнансовi результати</w:t>
            </w:r>
          </w:p>
        </w:tc>
      </w:tr>
      <w:tr>
        <w:trPr>
          <w:trHeight w:val="402" w:hRule="atLeast"/>
        </w:trPr>
        <w:tc>
          <w:tcPr>
            <w:tcW w:w="15373" w:type="dxa"/>
            <w:gridSpan w:val="2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cs="Times New Roman"/>
                <w:b/>
                <w:b/>
                <w:bCs/>
                <w:sz w:val="20"/>
                <w:szCs w:val="20"/>
                <w:lang w:val="uk-UA" w:eastAsia="uk-UA"/>
              </w:rPr>
            </w:pPr>
            <w:r>
              <w:rPr>
                <w:rFonts w:cs="Times New Roman" w:ascii="Times New Roman" w:hAnsi="Times New Roman"/>
                <w:b/>
                <w:bCs/>
                <w:sz w:val="20"/>
                <w:szCs w:val="20"/>
                <w:lang w:val="uk-UA" w:eastAsia="uk-UA"/>
              </w:rPr>
              <w:t>Доходи i витрати вiд операцiйної дiяльностi (деталiзацiя)</w:t>
            </w:r>
          </w:p>
        </w:tc>
      </w:tr>
      <w:tr>
        <w:trPr>
          <w:trHeight w:val="375"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Дохiд (виручка) вiд реалiзацiї продукцiї (товарiв, робiт, послуг)</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100</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16607</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b/>
                <w:b/>
                <w:bCs/>
                <w:sz w:val="20"/>
                <w:szCs w:val="20"/>
                <w:lang w:val="uk-UA" w:eastAsia="uk-UA"/>
              </w:rPr>
            </w:pPr>
            <w:r>
              <w:rPr>
                <w:rFonts w:cs="Times New Roman" w:ascii="Times New Roman" w:hAnsi="Times New Roman"/>
                <w:b/>
                <w:bCs/>
                <w:sz w:val="20"/>
                <w:szCs w:val="20"/>
                <w:lang w:val="uk-UA" w:eastAsia="uk-UA"/>
              </w:rPr>
              <w:t>17698</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19</w:t>
            </w:r>
            <w:r>
              <w:rPr>
                <w:rFonts w:cs="Times New Roman" w:ascii="Times New Roman" w:hAnsi="Times New Roman"/>
                <w:b/>
                <w:bCs/>
                <w:sz w:val="20"/>
                <w:szCs w:val="20"/>
                <w:lang w:val="uk-UA" w:eastAsia="uk-UA"/>
              </w:rPr>
              <w:t>7</w:t>
            </w:r>
            <w:r>
              <w:rPr>
                <w:rFonts w:cs="Times New Roman" w:ascii="Times New Roman" w:hAnsi="Times New Roman"/>
                <w:b/>
                <w:bCs/>
                <w:sz w:val="20"/>
                <w:szCs w:val="20"/>
                <w:lang w:val="uk-UA" w:eastAsia="uk-UA"/>
              </w:rPr>
              <w:t>00</w:t>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4300</w:t>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5200</w:t>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5200</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5000</w:t>
            </w:r>
          </w:p>
        </w:tc>
      </w:tr>
      <w:tr>
        <w:trPr>
          <w:trHeight w:val="510"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Дохiд з мiсцевого бюджету цiльового фiнансування на оплату комунальних послуг та енергоносiїв, товарiв, робiт та послуг</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110</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r>
      <w:tr>
        <w:trPr>
          <w:trHeight w:val="375"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Дохiд з мiсцевого бюджету за цiльовими програмами, у тому числi:</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120</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r>
      <w:tr>
        <w:trPr>
          <w:trHeight w:val="390"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Вiдшкодування вартостi лiкарських засобiв для лiкування окремих захворювань</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121</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r>
      <w:tr>
        <w:trPr>
          <w:trHeight w:val="405"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Централiзованi заходи з лiкування хворих на цукровий та нецукровий дiабет</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122</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r>
      <w:tr>
        <w:trPr>
          <w:trHeight w:val="375"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Iншi програми та заходи у сферi охорони здоров’я</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123</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r>
      <w:tr>
        <w:trPr>
          <w:trHeight w:val="375"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Собiвартiсть реалiзованої продукцiї (товарiв, робiт, послуг)</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130</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b/>
                <w:b/>
                <w:bCs/>
              </w:rPr>
            </w:pPr>
            <w:r>
              <w:rPr>
                <w:rFonts w:cs="Times New Roman" w:ascii="Times New Roman" w:hAnsi="Times New Roman"/>
                <w:b/>
                <w:bCs/>
                <w:sz w:val="20"/>
                <w:szCs w:val="20"/>
                <w:lang w:val="uk-UA" w:eastAsia="uk-UA"/>
              </w:rPr>
              <w:t>4353</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b/>
                <w:bCs/>
                <w:sz w:val="20"/>
                <w:szCs w:val="20"/>
                <w:lang w:val="uk-UA" w:eastAsia="uk-UA"/>
              </w:rPr>
              <w:t>4367</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5132</w:t>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1313</w:t>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1258</w:t>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1285</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1276</w:t>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b/>
                <w:b/>
                <w:bCs/>
                <w:sz w:val="20"/>
                <w:szCs w:val="20"/>
                <w:lang w:val="uk-UA" w:eastAsia="uk-UA"/>
              </w:rPr>
            </w:pPr>
            <w:r>
              <w:rPr>
                <w:rFonts w:cs="Times New Roman" w:ascii="Times New Roman" w:hAnsi="Times New Roman"/>
                <w:b/>
                <w:bCs/>
                <w:sz w:val="20"/>
                <w:szCs w:val="20"/>
                <w:lang w:val="uk-UA" w:eastAsia="uk-UA"/>
              </w:rPr>
              <w:t>Витрати на послуги, матерiали та сировину, в т. ч.:</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b/>
                <w:b/>
                <w:bCs/>
                <w:sz w:val="20"/>
                <w:szCs w:val="20"/>
                <w:lang w:val="uk-UA" w:eastAsia="uk-UA"/>
              </w:rPr>
            </w:pPr>
            <w:r>
              <w:rPr>
                <w:rFonts w:cs="Times New Roman" w:ascii="Times New Roman" w:hAnsi="Times New Roman"/>
                <w:b/>
                <w:bCs/>
                <w:sz w:val="20"/>
                <w:szCs w:val="20"/>
                <w:lang w:val="uk-UA" w:eastAsia="uk-UA"/>
              </w:rPr>
              <w:t>140</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1332</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576</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1500</w:t>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375</w:t>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375</w:t>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400</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350</w:t>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медикаменти та перев’язувальнi матерiали</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141</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ремонт та запаснi частини до транспортних засобiв</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142</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господарчi товари та iнвентар</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143</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1332</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576</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1500</w:t>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375</w:t>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375</w:t>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400</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350</w:t>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Витрати на паливо-мастильнi матерiали</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150</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color w:val="FF0000"/>
                <w:sz w:val="20"/>
                <w:szCs w:val="20"/>
                <w:lang w:val="uk-UA" w:eastAsia="uk-UA"/>
              </w:rPr>
            </w:pPr>
            <w:r>
              <w:rPr>
                <w:rFonts w:cs="Times New Roman" w:ascii="Times New Roman" w:hAnsi="Times New Roman"/>
                <w:color w:val="FF0000"/>
                <w:sz w:val="20"/>
                <w:szCs w:val="20"/>
                <w:lang w:val="uk-UA" w:eastAsia="uk-UA"/>
              </w:rPr>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b/>
                <w:b/>
                <w:bCs/>
                <w:sz w:val="20"/>
                <w:szCs w:val="20"/>
                <w:lang w:val="uk-UA" w:eastAsia="uk-UA"/>
              </w:rPr>
            </w:pPr>
            <w:r>
              <w:rPr>
                <w:rFonts w:cs="Times New Roman" w:ascii="Times New Roman" w:hAnsi="Times New Roman"/>
                <w:b/>
                <w:bCs/>
                <w:sz w:val="20"/>
                <w:szCs w:val="20"/>
                <w:lang w:val="uk-UA" w:eastAsia="uk-UA"/>
              </w:rPr>
              <w:t>Витрати на комунальнi послуги та енергоносiї, в т.ч.:</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b/>
                <w:b/>
                <w:bCs/>
                <w:sz w:val="20"/>
                <w:szCs w:val="20"/>
                <w:lang w:val="uk-UA" w:eastAsia="uk-UA"/>
              </w:rPr>
            </w:pPr>
            <w:r>
              <w:rPr>
                <w:rFonts w:cs="Times New Roman" w:ascii="Times New Roman" w:hAnsi="Times New Roman"/>
                <w:b/>
                <w:bCs/>
                <w:sz w:val="20"/>
                <w:szCs w:val="20"/>
                <w:lang w:val="uk-UA" w:eastAsia="uk-UA"/>
              </w:rPr>
              <w:t>160</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3021</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b/>
                <w:b/>
                <w:bCs/>
                <w:sz w:val="20"/>
                <w:szCs w:val="20"/>
                <w:lang w:val="uk-UA" w:eastAsia="uk-UA"/>
              </w:rPr>
            </w:pPr>
            <w:r>
              <w:rPr>
                <w:rFonts w:cs="Times New Roman" w:ascii="Times New Roman" w:hAnsi="Times New Roman"/>
                <w:b/>
                <w:bCs/>
                <w:sz w:val="20"/>
                <w:szCs w:val="20"/>
                <w:lang w:val="uk-UA" w:eastAsia="uk-UA"/>
              </w:rPr>
              <w:t>3791</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3632</w:t>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938</w:t>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883</w:t>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885</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926</w:t>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Витрати на електроенергiю</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161</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2607</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3362</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3202</w:t>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800</w:t>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800</w:t>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802</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800</w:t>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Витрати на водопостачання та водовiдведення</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162</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58</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60</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60</w:t>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15</w:t>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15</w:t>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15</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15</w:t>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Витрати на природнiй газ</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163</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50</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108</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120</w:t>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60</w:t>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5</w:t>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5</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50</w:t>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Витрати на тверде паливо</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164</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Витрати на викачку нечистот та вивiз побутових вiдходiв</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165</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306</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261</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250</w:t>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63</w:t>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63</w:t>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63</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61</w:t>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b/>
                <w:b/>
                <w:bCs/>
                <w:sz w:val="20"/>
                <w:szCs w:val="20"/>
                <w:lang w:val="uk-UA" w:eastAsia="uk-UA"/>
              </w:rPr>
            </w:pPr>
            <w:r>
              <w:rPr>
                <w:rFonts w:cs="Times New Roman" w:ascii="Times New Roman" w:hAnsi="Times New Roman"/>
                <w:b/>
                <w:bCs/>
                <w:sz w:val="20"/>
                <w:szCs w:val="20"/>
                <w:lang w:val="uk-UA" w:eastAsia="uk-UA"/>
              </w:rPr>
              <w:t>Витрати на оплату працi</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b/>
                <w:b/>
                <w:bCs/>
                <w:sz w:val="20"/>
                <w:szCs w:val="20"/>
                <w:lang w:val="uk-UA" w:eastAsia="uk-UA"/>
              </w:rPr>
            </w:pPr>
            <w:r>
              <w:rPr>
                <w:rFonts w:cs="Times New Roman" w:ascii="Times New Roman" w:hAnsi="Times New Roman"/>
                <w:b/>
                <w:bCs/>
                <w:sz w:val="20"/>
                <w:szCs w:val="20"/>
                <w:lang w:val="uk-UA" w:eastAsia="uk-UA"/>
              </w:rPr>
              <w:t>170</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5785</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b/>
                <w:b/>
                <w:bCs/>
                <w:sz w:val="20"/>
                <w:szCs w:val="20"/>
                <w:lang w:val="uk-UA" w:eastAsia="uk-UA"/>
              </w:rPr>
            </w:pPr>
            <w:r>
              <w:rPr>
                <w:rFonts w:cs="Times New Roman" w:ascii="Times New Roman" w:hAnsi="Times New Roman"/>
                <w:b/>
                <w:bCs/>
                <w:sz w:val="20"/>
                <w:szCs w:val="20"/>
                <w:lang w:val="uk-UA" w:eastAsia="uk-UA"/>
              </w:rPr>
              <w:t>6376</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6</w:t>
            </w:r>
            <w:r>
              <w:rPr>
                <w:rFonts w:cs="Times New Roman" w:ascii="Times New Roman" w:hAnsi="Times New Roman"/>
                <w:b/>
                <w:bCs/>
                <w:sz w:val="20"/>
                <w:szCs w:val="20"/>
                <w:lang w:val="uk-UA" w:eastAsia="uk-UA"/>
              </w:rPr>
              <w:t>60</w:t>
            </w:r>
            <w:r>
              <w:rPr>
                <w:rFonts w:cs="Times New Roman" w:ascii="Times New Roman" w:hAnsi="Times New Roman"/>
                <w:b/>
                <w:bCs/>
                <w:sz w:val="20"/>
                <w:szCs w:val="20"/>
                <w:lang w:val="uk-UA" w:eastAsia="uk-UA"/>
              </w:rPr>
              <w:t>0</w:t>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16</w:t>
            </w:r>
            <w:r>
              <w:rPr>
                <w:rFonts w:cs="Times New Roman" w:ascii="Times New Roman" w:hAnsi="Times New Roman"/>
                <w:b/>
                <w:bCs/>
                <w:sz w:val="20"/>
                <w:szCs w:val="20"/>
                <w:lang w:val="uk-UA" w:eastAsia="uk-UA"/>
              </w:rPr>
              <w:t>5</w:t>
            </w:r>
            <w:r>
              <w:rPr>
                <w:rFonts w:cs="Times New Roman" w:ascii="Times New Roman" w:hAnsi="Times New Roman"/>
                <w:b/>
                <w:bCs/>
                <w:sz w:val="20"/>
                <w:szCs w:val="20"/>
                <w:lang w:val="uk-UA" w:eastAsia="uk-UA"/>
              </w:rPr>
              <w:t>0</w:t>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16</w:t>
            </w:r>
            <w:r>
              <w:rPr>
                <w:rFonts w:cs="Times New Roman" w:ascii="Times New Roman" w:hAnsi="Times New Roman"/>
                <w:b/>
                <w:bCs/>
                <w:sz w:val="20"/>
                <w:szCs w:val="20"/>
                <w:lang w:val="uk-UA" w:eastAsia="uk-UA"/>
              </w:rPr>
              <w:t>5</w:t>
            </w:r>
            <w:r>
              <w:rPr>
                <w:rFonts w:cs="Times New Roman" w:ascii="Times New Roman" w:hAnsi="Times New Roman"/>
                <w:b/>
                <w:bCs/>
                <w:sz w:val="20"/>
                <w:szCs w:val="20"/>
                <w:lang w:val="uk-UA" w:eastAsia="uk-UA"/>
              </w:rPr>
              <w:t>0</w:t>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16</w:t>
            </w:r>
            <w:r>
              <w:rPr>
                <w:rFonts w:cs="Times New Roman" w:ascii="Times New Roman" w:hAnsi="Times New Roman"/>
                <w:b/>
                <w:bCs/>
                <w:sz w:val="20"/>
                <w:szCs w:val="20"/>
                <w:lang w:val="uk-UA" w:eastAsia="uk-UA"/>
              </w:rPr>
              <w:t>5</w:t>
            </w:r>
            <w:r>
              <w:rPr>
                <w:rFonts w:cs="Times New Roman" w:ascii="Times New Roman" w:hAnsi="Times New Roman"/>
                <w:b/>
                <w:bCs/>
                <w:sz w:val="20"/>
                <w:szCs w:val="20"/>
                <w:lang w:val="uk-UA" w:eastAsia="uk-UA"/>
              </w:rPr>
              <w:t>0</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16</w:t>
            </w:r>
            <w:r>
              <w:rPr>
                <w:rFonts w:cs="Times New Roman" w:ascii="Times New Roman" w:hAnsi="Times New Roman"/>
                <w:b/>
                <w:bCs/>
                <w:sz w:val="20"/>
                <w:szCs w:val="20"/>
                <w:lang w:val="uk-UA" w:eastAsia="uk-UA"/>
              </w:rPr>
              <w:t>5</w:t>
            </w:r>
            <w:r>
              <w:rPr>
                <w:rFonts w:cs="Times New Roman" w:ascii="Times New Roman" w:hAnsi="Times New Roman"/>
                <w:b/>
                <w:bCs/>
                <w:sz w:val="20"/>
                <w:szCs w:val="20"/>
                <w:lang w:val="uk-UA" w:eastAsia="uk-UA"/>
              </w:rPr>
              <w:t>0</w:t>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b/>
                <w:b/>
                <w:bCs/>
                <w:sz w:val="20"/>
                <w:szCs w:val="20"/>
                <w:lang w:val="uk-UA" w:eastAsia="uk-UA"/>
              </w:rPr>
            </w:pPr>
            <w:r>
              <w:rPr>
                <w:rFonts w:cs="Times New Roman" w:ascii="Times New Roman" w:hAnsi="Times New Roman"/>
                <w:b/>
                <w:bCs/>
                <w:sz w:val="20"/>
                <w:szCs w:val="20"/>
                <w:lang w:val="uk-UA" w:eastAsia="uk-UA"/>
              </w:rPr>
              <w:t>Вiдрахування на соцiальнi заходи</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b/>
                <w:b/>
                <w:bCs/>
                <w:sz w:val="20"/>
                <w:szCs w:val="20"/>
                <w:lang w:val="uk-UA" w:eastAsia="uk-UA"/>
              </w:rPr>
            </w:pPr>
            <w:r>
              <w:rPr>
                <w:rFonts w:cs="Times New Roman" w:ascii="Times New Roman" w:hAnsi="Times New Roman"/>
                <w:b/>
                <w:bCs/>
                <w:sz w:val="20"/>
                <w:szCs w:val="20"/>
                <w:lang w:val="uk-UA" w:eastAsia="uk-UA"/>
              </w:rPr>
              <w:t>180</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1311</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b/>
                <w:b/>
                <w:bCs/>
                <w:sz w:val="20"/>
                <w:szCs w:val="20"/>
                <w:lang w:val="uk-UA" w:eastAsia="uk-UA"/>
              </w:rPr>
            </w:pPr>
            <w:r>
              <w:rPr>
                <w:rFonts w:cs="Times New Roman" w:ascii="Times New Roman" w:hAnsi="Times New Roman"/>
                <w:b/>
                <w:bCs/>
                <w:sz w:val="20"/>
                <w:szCs w:val="20"/>
                <w:lang w:val="uk-UA" w:eastAsia="uk-UA"/>
              </w:rPr>
              <w:t>1258</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b/>
                <w:b/>
                <w:bCs/>
                <w:sz w:val="20"/>
                <w:szCs w:val="20"/>
                <w:lang w:val="uk-UA" w:eastAsia="uk-UA"/>
              </w:rPr>
            </w:pPr>
            <w:r>
              <w:rPr>
                <w:rFonts w:cs="Times New Roman" w:ascii="Times New Roman" w:hAnsi="Times New Roman"/>
                <w:b/>
                <w:bCs/>
                <w:sz w:val="20"/>
                <w:szCs w:val="20"/>
                <w:lang w:val="uk-UA" w:eastAsia="uk-UA"/>
              </w:rPr>
              <w:t>1320</w:t>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b/>
                <w:b/>
                <w:bCs/>
                <w:sz w:val="20"/>
                <w:szCs w:val="20"/>
                <w:lang w:val="uk-UA" w:eastAsia="uk-UA"/>
              </w:rPr>
            </w:pPr>
            <w:r>
              <w:rPr>
                <w:rFonts w:cs="Times New Roman" w:ascii="Times New Roman" w:hAnsi="Times New Roman"/>
                <w:b/>
                <w:bCs/>
                <w:sz w:val="20"/>
                <w:szCs w:val="20"/>
                <w:lang w:val="uk-UA" w:eastAsia="uk-UA"/>
              </w:rPr>
              <w:t>330</w:t>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b/>
                <w:b/>
                <w:bCs/>
                <w:sz w:val="20"/>
                <w:szCs w:val="20"/>
                <w:lang w:val="uk-UA" w:eastAsia="uk-UA"/>
              </w:rPr>
            </w:pPr>
            <w:r>
              <w:rPr>
                <w:rFonts w:cs="Times New Roman" w:ascii="Times New Roman" w:hAnsi="Times New Roman"/>
                <w:b/>
                <w:bCs/>
                <w:sz w:val="20"/>
                <w:szCs w:val="20"/>
                <w:lang w:val="uk-UA" w:eastAsia="uk-UA"/>
              </w:rPr>
              <w:t>330</w:t>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b/>
                <w:b/>
                <w:bCs/>
                <w:sz w:val="20"/>
                <w:szCs w:val="20"/>
                <w:lang w:val="uk-UA" w:eastAsia="uk-UA"/>
              </w:rPr>
            </w:pPr>
            <w:r>
              <w:rPr>
                <w:rFonts w:cs="Times New Roman" w:ascii="Times New Roman" w:hAnsi="Times New Roman"/>
                <w:b/>
                <w:bCs/>
                <w:sz w:val="20"/>
                <w:szCs w:val="20"/>
                <w:lang w:val="uk-UA" w:eastAsia="uk-UA"/>
              </w:rPr>
              <w:t>330</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rFonts w:ascii="Times New Roman" w:hAnsi="Times New Roman" w:cs="Times New Roman"/>
                <w:b/>
                <w:b/>
                <w:bCs/>
                <w:sz w:val="20"/>
                <w:szCs w:val="20"/>
                <w:lang w:val="uk-UA" w:eastAsia="uk-UA"/>
              </w:rPr>
            </w:pPr>
            <w:r>
              <w:rPr>
                <w:rFonts w:cs="Times New Roman" w:ascii="Times New Roman" w:hAnsi="Times New Roman"/>
                <w:b/>
                <w:bCs/>
                <w:sz w:val="20"/>
                <w:szCs w:val="20"/>
                <w:lang w:val="uk-UA" w:eastAsia="uk-UA"/>
              </w:rPr>
              <w:t>330</w:t>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Витрати по виконанню цiльових програм</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190</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r>
      <w:tr>
        <w:trPr>
          <w:trHeight w:val="780"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Витрати, що здiйснюються для пiдтримання об’єкта в робочому станi (проведення ремонту, технiчного огляду, нагляду, обслуговування тощо)</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b/>
                <w:bCs/>
                <w:i/>
                <w:iCs/>
                <w:sz w:val="20"/>
                <w:szCs w:val="20"/>
                <w:lang w:val="uk-UA" w:eastAsia="uk-UA"/>
              </w:rPr>
              <w:t>200</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b/>
                <w:bCs/>
                <w:i/>
                <w:iCs/>
                <w:sz w:val="20"/>
                <w:szCs w:val="20"/>
                <w:lang w:val="uk-UA" w:eastAsia="uk-UA"/>
              </w:rPr>
              <w:t> </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b/>
                <w:bCs/>
                <w:i/>
                <w:iCs/>
                <w:sz w:val="20"/>
                <w:szCs w:val="20"/>
                <w:lang w:val="uk-UA" w:eastAsia="uk-UA"/>
              </w:rPr>
              <w:t> </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b/>
                <w:bCs/>
                <w:i/>
                <w:iCs/>
                <w:sz w:val="20"/>
                <w:szCs w:val="20"/>
                <w:lang w:val="uk-UA" w:eastAsia="uk-UA"/>
              </w:rPr>
              <w:t>50</w:t>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b/>
                <w:bCs/>
                <w:i/>
                <w:iCs/>
                <w:sz w:val="20"/>
                <w:szCs w:val="20"/>
                <w:lang w:val="uk-UA" w:eastAsia="uk-UA"/>
              </w:rPr>
              <w:t>12</w:t>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b/>
                <w:bCs/>
                <w:i/>
                <w:iCs/>
                <w:sz w:val="20"/>
                <w:szCs w:val="20"/>
                <w:lang w:val="uk-UA" w:eastAsia="uk-UA"/>
              </w:rPr>
              <w:t>12</w:t>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b/>
                <w:bCs/>
                <w:i/>
                <w:iCs/>
                <w:sz w:val="20"/>
                <w:szCs w:val="20"/>
                <w:lang w:val="uk-UA" w:eastAsia="uk-UA"/>
              </w:rPr>
              <w:t>13</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b/>
                <w:bCs/>
                <w:i/>
                <w:iCs/>
                <w:sz w:val="20"/>
                <w:szCs w:val="20"/>
                <w:lang w:val="uk-UA" w:eastAsia="uk-UA"/>
              </w:rPr>
              <w:t>13</w:t>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Амортизацiя</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b/>
                <w:bCs/>
                <w:i/>
                <w:iCs/>
                <w:sz w:val="20"/>
                <w:szCs w:val="20"/>
                <w:lang w:val="uk-UA" w:eastAsia="uk-UA"/>
              </w:rPr>
              <w:t>210</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b/>
                <w:b/>
                <w:bCs/>
                <w:i/>
                <w:i/>
                <w:iCs/>
              </w:rPr>
            </w:pPr>
            <w:r>
              <w:rPr>
                <w:rFonts w:cs="Times New Roman" w:ascii="Times New Roman" w:hAnsi="Times New Roman"/>
                <w:b/>
                <w:bCs/>
                <w:i/>
                <w:iCs/>
                <w:sz w:val="20"/>
                <w:szCs w:val="20"/>
                <w:lang w:val="uk-UA" w:eastAsia="uk-UA"/>
              </w:rPr>
              <w:t>86</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104</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b/>
                <w:bCs/>
                <w:i/>
                <w:iCs/>
                <w:sz w:val="20"/>
                <w:szCs w:val="20"/>
                <w:lang w:val="uk-UA" w:eastAsia="uk-UA"/>
              </w:rPr>
              <w:t>131</w:t>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b/>
                <w:bCs/>
                <w:i/>
                <w:iCs/>
                <w:sz w:val="20"/>
                <w:szCs w:val="20"/>
                <w:lang w:val="uk-UA" w:eastAsia="uk-UA"/>
              </w:rPr>
              <w:t>32</w:t>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b/>
                <w:bCs/>
                <w:i/>
                <w:iCs/>
                <w:sz w:val="20"/>
                <w:szCs w:val="20"/>
                <w:lang w:val="uk-UA" w:eastAsia="uk-UA"/>
              </w:rPr>
              <w:t>33</w:t>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b/>
                <w:bCs/>
                <w:i/>
                <w:iCs/>
                <w:sz w:val="20"/>
                <w:szCs w:val="20"/>
                <w:lang w:val="uk-UA" w:eastAsia="uk-UA"/>
              </w:rPr>
              <w:t>33</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b/>
                <w:bCs/>
                <w:i/>
                <w:iCs/>
                <w:sz w:val="20"/>
                <w:szCs w:val="20"/>
                <w:lang w:val="uk-UA" w:eastAsia="uk-UA"/>
              </w:rPr>
              <w:t>33</w:t>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Iншi витрати (розшифрувати)</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220</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1382</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386</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400</w:t>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100</w:t>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100</w:t>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100</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100</w:t>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Адмiнiстративнi витрати, у тому числi:</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230</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3047</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2911</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33</w:t>
            </w:r>
            <w:r>
              <w:rPr>
                <w:rFonts w:cs="Times New Roman" w:ascii="Times New Roman" w:hAnsi="Times New Roman"/>
                <w:b/>
                <w:bCs/>
                <w:sz w:val="20"/>
                <w:szCs w:val="20"/>
                <w:lang w:val="uk-UA" w:eastAsia="uk-UA"/>
              </w:rPr>
              <w:t>5</w:t>
            </w:r>
            <w:r>
              <w:rPr>
                <w:rFonts w:cs="Times New Roman" w:ascii="Times New Roman" w:hAnsi="Times New Roman"/>
                <w:b/>
                <w:bCs/>
                <w:sz w:val="20"/>
                <w:szCs w:val="20"/>
                <w:lang w:val="uk-UA" w:eastAsia="uk-UA"/>
              </w:rPr>
              <w:t>8</w:t>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widowControl/>
              <w:bidi w:val="0"/>
              <w:spacing w:lineRule="auto" w:line="276" w:before="0" w:after="200"/>
              <w:jc w:val="left"/>
              <w:rPr/>
            </w:pPr>
            <w:r>
              <w:rPr>
                <w:b/>
                <w:bCs/>
                <w:lang w:val="uk-UA"/>
              </w:rPr>
              <w:t xml:space="preserve">    </w:t>
            </w:r>
            <w:r>
              <w:rPr>
                <w:b/>
                <w:bCs/>
                <w:lang w:val="uk-UA"/>
              </w:rPr>
              <w:t>83</w:t>
            </w:r>
            <w:r>
              <w:rPr>
                <w:b/>
                <w:bCs/>
                <w:lang w:val="uk-UA"/>
              </w:rPr>
              <w:t>9</w:t>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widowControl/>
              <w:bidi w:val="0"/>
              <w:spacing w:lineRule="auto" w:line="276" w:before="0" w:after="200"/>
              <w:jc w:val="left"/>
              <w:rPr/>
            </w:pPr>
            <w:r>
              <w:rPr>
                <w:b/>
                <w:bCs/>
                <w:lang w:val="uk-UA"/>
              </w:rPr>
              <w:t>837</w:t>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widowControl/>
              <w:bidi w:val="0"/>
              <w:spacing w:lineRule="auto" w:line="276" w:before="0" w:after="200"/>
              <w:jc w:val="left"/>
              <w:rPr/>
            </w:pPr>
            <w:r>
              <w:rPr>
                <w:b/>
                <w:bCs/>
                <w:lang w:val="uk-UA"/>
              </w:rPr>
              <w:t>8</w:t>
            </w:r>
            <w:r>
              <w:rPr>
                <w:b/>
                <w:bCs/>
                <w:lang w:val="uk-UA"/>
              </w:rPr>
              <w:t>40</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widowControl/>
              <w:bidi w:val="0"/>
              <w:spacing w:lineRule="auto" w:line="276" w:before="0" w:after="200"/>
              <w:jc w:val="left"/>
              <w:rPr/>
            </w:pPr>
            <w:r>
              <w:rPr>
                <w:b/>
                <w:bCs/>
                <w:lang w:val="uk-UA"/>
              </w:rPr>
              <w:t>8</w:t>
            </w:r>
            <w:r>
              <w:rPr>
                <w:b/>
                <w:bCs/>
                <w:lang w:val="uk-UA"/>
              </w:rPr>
              <w:t>42</w:t>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витрати на канцтовари, офiсне приладдя та устаткування</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231</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3</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80</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100</w:t>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25</w:t>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25</w:t>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25</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25</w:t>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 xml:space="preserve">витрати на страховi послуги </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232</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витрати на придбання та супровiд програмного забезпечення</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233</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48</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35</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50</w:t>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12</w:t>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12</w:t>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13</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13</w:t>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витрати на службовi вiдрядження</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234</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витрати на зв’язок та iнтернет , СМС - послуги</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235</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25</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8</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12</w:t>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3</w:t>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3</w:t>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3</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3</w:t>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витрати на оплату працi</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236</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вiдрахування на соцiальнi заходи</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237</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витрати на обслуговування оргтехнiки</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238</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13</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42</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40</w:t>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10</w:t>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8</w:t>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10</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12</w:t>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витрати на культурно-масовi заходи</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239</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r>
      <w:tr>
        <w:trPr>
          <w:trHeight w:val="52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xml:space="preserve">амортизацiя </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250</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юридичнi та нотарiальнi послуги</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260</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225</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276</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276</w:t>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69</w:t>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69</w:t>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69</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69</w:t>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витрати на охорону працi та навчання працiвникiв</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270</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2733</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2470</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2880</w:t>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720</w:t>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720</w:t>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720</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720</w:t>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pPr>
            <w:r>
              <w:rPr>
                <w:rFonts w:cs="Times New Roman" w:ascii="Times New Roman" w:hAnsi="Times New Roman"/>
                <w:sz w:val="20"/>
                <w:szCs w:val="20"/>
                <w:lang w:val="uk-UA" w:eastAsia="uk-UA"/>
              </w:rPr>
              <w:t xml:space="preserve">iншi адмiнiстративнi витрати (розшифрувати) судові витрати  </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280</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0</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2192</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2510</w:t>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0</w:t>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912</w:t>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887</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711</w:t>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Iншi доходи вiд операцiйної дiяльностi, в т.ч.:</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290</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дохiд вiд операцiйної оренди активiв</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291</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дохiд вiд реалiзацiї необоротних активiв</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292</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xml:space="preserve">Iншi витрати вiд операцiйної дiяльностi (розшифрувати) </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300</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r>
      <w:tr>
        <w:trPr>
          <w:trHeight w:val="402" w:hRule="atLeast"/>
        </w:trPr>
        <w:tc>
          <w:tcPr>
            <w:tcW w:w="15373" w:type="dxa"/>
            <w:gridSpan w:val="2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cs="Times New Roman"/>
                <w:b/>
                <w:b/>
                <w:bCs/>
                <w:sz w:val="20"/>
                <w:szCs w:val="20"/>
                <w:lang w:val="uk-UA" w:eastAsia="uk-UA"/>
              </w:rPr>
            </w:pPr>
            <w:r>
              <w:rPr>
                <w:rFonts w:cs="Times New Roman" w:ascii="Times New Roman" w:hAnsi="Times New Roman"/>
                <w:b/>
                <w:bCs/>
                <w:sz w:val="20"/>
                <w:szCs w:val="20"/>
                <w:lang w:val="uk-UA" w:eastAsia="uk-UA"/>
              </w:rPr>
              <w:t>II. Елементи операцiйних витрат</w:t>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Матерiальнi затрати</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400</w:t>
            </w:r>
          </w:p>
        </w:tc>
        <w:tc>
          <w:tcPr>
            <w:tcW w:w="1142" w:type="dxa"/>
            <w:gridSpan w:val="3"/>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330" w:type="dxa"/>
            <w:gridSpan w:val="9"/>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Витрати на оплату працi</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410</w:t>
            </w:r>
          </w:p>
        </w:tc>
        <w:tc>
          <w:tcPr>
            <w:tcW w:w="1142" w:type="dxa"/>
            <w:gridSpan w:val="3"/>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330" w:type="dxa"/>
            <w:gridSpan w:val="9"/>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Вiдрахування на соцiальнi заходи</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420</w:t>
            </w:r>
          </w:p>
        </w:tc>
        <w:tc>
          <w:tcPr>
            <w:tcW w:w="1142" w:type="dxa"/>
            <w:gridSpan w:val="3"/>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330" w:type="dxa"/>
            <w:gridSpan w:val="9"/>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Амортизацiя</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430</w:t>
            </w:r>
          </w:p>
        </w:tc>
        <w:tc>
          <w:tcPr>
            <w:tcW w:w="1142" w:type="dxa"/>
            <w:gridSpan w:val="3"/>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330" w:type="dxa"/>
            <w:gridSpan w:val="9"/>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Iншi операцiйнi витрати</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440</w:t>
            </w:r>
          </w:p>
        </w:tc>
        <w:tc>
          <w:tcPr>
            <w:tcW w:w="1142" w:type="dxa"/>
            <w:gridSpan w:val="3"/>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330" w:type="dxa"/>
            <w:gridSpan w:val="9"/>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Разом (сума рядкiв 400 - 440)</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450</w:t>
            </w:r>
          </w:p>
        </w:tc>
        <w:tc>
          <w:tcPr>
            <w:tcW w:w="1142" w:type="dxa"/>
            <w:gridSpan w:val="3"/>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330" w:type="dxa"/>
            <w:gridSpan w:val="9"/>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b/>
                <w:b/>
                <w:bCs/>
                <w:sz w:val="20"/>
                <w:szCs w:val="20"/>
                <w:lang w:val="uk-UA" w:eastAsia="uk-UA"/>
              </w:rPr>
            </w:pPr>
            <w:r>
              <w:rPr>
                <w:rFonts w:cs="Times New Roman" w:ascii="Times New Roman" w:hAnsi="Times New Roman"/>
                <w:b/>
                <w:bCs/>
                <w:sz w:val="20"/>
                <w:szCs w:val="20"/>
                <w:lang w:val="uk-UA" w:eastAsia="uk-UA"/>
              </w:rPr>
              <w:t> </w:t>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r>
      <w:tr>
        <w:trPr>
          <w:trHeight w:val="402" w:hRule="atLeast"/>
        </w:trPr>
        <w:tc>
          <w:tcPr>
            <w:tcW w:w="15373" w:type="dxa"/>
            <w:gridSpan w:val="2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cs="Times New Roman"/>
                <w:b/>
                <w:b/>
                <w:bCs/>
                <w:sz w:val="20"/>
                <w:szCs w:val="20"/>
                <w:lang w:val="uk-UA" w:eastAsia="uk-UA"/>
              </w:rPr>
            </w:pPr>
            <w:r>
              <w:rPr>
                <w:rFonts w:cs="Times New Roman" w:ascii="Times New Roman" w:hAnsi="Times New Roman"/>
                <w:b/>
                <w:bCs/>
                <w:sz w:val="20"/>
                <w:szCs w:val="20"/>
                <w:lang w:val="uk-UA" w:eastAsia="uk-UA"/>
              </w:rPr>
              <w:t>III. Iнвестицiйна дiяльнiсть</w:t>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Доходи вiд iнвестицiйної дiяльностi, у т.ч.:</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500</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b/>
                <w:b/>
                <w:bCs/>
                <w:sz w:val="20"/>
                <w:szCs w:val="20"/>
                <w:lang w:val="uk-UA" w:eastAsia="uk-UA"/>
              </w:rPr>
            </w:pPr>
            <w:r>
              <w:rPr>
                <w:rFonts w:cs="Times New Roman" w:ascii="Times New Roman" w:hAnsi="Times New Roman"/>
                <w:b/>
                <w:bCs/>
                <w:sz w:val="20"/>
                <w:szCs w:val="20"/>
                <w:lang w:val="uk-UA" w:eastAsia="uk-UA"/>
              </w:rPr>
              <w:t> </w:t>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доходи з мiсцевого бюджету цiльового фiнансування по капiтальних видатках</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501</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b/>
                <w:b/>
                <w:bCs/>
                <w:sz w:val="20"/>
                <w:szCs w:val="20"/>
                <w:lang w:val="uk-UA" w:eastAsia="uk-UA"/>
              </w:rPr>
            </w:pPr>
            <w:r>
              <w:rPr>
                <w:rFonts w:cs="Times New Roman" w:ascii="Times New Roman" w:hAnsi="Times New Roman"/>
                <w:b/>
                <w:bCs/>
                <w:sz w:val="20"/>
                <w:szCs w:val="20"/>
                <w:lang w:val="uk-UA" w:eastAsia="uk-UA"/>
              </w:rPr>
              <w:t>Капiтальнi iнвестицiї, усього, у тому числi:</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510</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205</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b/>
                <w:b/>
                <w:bCs/>
                <w:sz w:val="20"/>
                <w:szCs w:val="20"/>
                <w:lang w:val="uk-UA" w:eastAsia="uk-UA"/>
              </w:rPr>
            </w:pPr>
            <w:r>
              <w:rPr>
                <w:rFonts w:cs="Times New Roman" w:ascii="Times New Roman" w:hAnsi="Times New Roman"/>
                <w:b/>
                <w:bCs/>
                <w:sz w:val="20"/>
                <w:szCs w:val="20"/>
                <w:lang w:val="uk-UA" w:eastAsia="uk-UA"/>
              </w:rPr>
              <w:t>9</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157</w:t>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 </w:t>
            </w:r>
            <w:r>
              <w:rPr>
                <w:rFonts w:cs="Times New Roman" w:ascii="Times New Roman" w:hAnsi="Times New Roman"/>
                <w:b/>
                <w:bCs/>
                <w:sz w:val="20"/>
                <w:szCs w:val="20"/>
                <w:lang w:val="uk-UA" w:eastAsia="uk-UA"/>
              </w:rPr>
              <w:t>9</w:t>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52</w:t>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52</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44</w:t>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капiтальне будiвництво</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511</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придбання (виготовлення) основних засобiв</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512</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придбання (виготовлення) iнших необоротних матерiальних активiв</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513</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205</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9</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157</w:t>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9</w:t>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52</w:t>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52</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44</w:t>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придбання (створення) нематерiальних активiв</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514</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r>
      <w:tr>
        <w:trPr>
          <w:trHeight w:val="750"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модернiзацiя, модифiкацiя (добудова, дообладнання, реконструкцiя) основних засобiв</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515</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капiтальний ремонт</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516</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r>
      <w:tr>
        <w:trPr>
          <w:trHeight w:val="402" w:hRule="atLeast"/>
        </w:trPr>
        <w:tc>
          <w:tcPr>
            <w:tcW w:w="15373" w:type="dxa"/>
            <w:gridSpan w:val="2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cs="Times New Roman"/>
                <w:b/>
                <w:b/>
                <w:bCs/>
                <w:sz w:val="20"/>
                <w:szCs w:val="20"/>
                <w:lang w:val="uk-UA" w:eastAsia="uk-UA"/>
              </w:rPr>
            </w:pPr>
            <w:r>
              <w:rPr>
                <w:rFonts w:cs="Times New Roman" w:ascii="Times New Roman" w:hAnsi="Times New Roman"/>
                <w:b/>
                <w:bCs/>
                <w:sz w:val="20"/>
                <w:szCs w:val="20"/>
                <w:lang w:val="uk-UA" w:eastAsia="uk-UA"/>
              </w:rPr>
              <w:t>IV. Фiнансова дiяльнiсть</w:t>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Доходи вiд фiнансової дiяльностi за зобов’язаннями, у т. ч.:</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600</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pPr>
            <w:r>
              <w:rPr>
                <w:rFonts w:cs="Times New Roman" w:ascii="Times New Roman" w:hAnsi="Times New Roman"/>
                <w:i/>
                <w:iCs/>
                <w:sz w:val="20"/>
                <w:szCs w:val="20"/>
                <w:lang w:val="uk-UA" w:eastAsia="uk-UA"/>
              </w:rPr>
              <w:t xml:space="preserve">кредити Кредити </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601</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позики</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602</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депозити</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603</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Iншi надходження (розшифрувати)</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610</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Витрати вiд фiнансової дiяльностi за зобов’язаннями, у т. ч.:</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620</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Кредити ( овердрафт)</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621</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позики</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622</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депозити</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t>623</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pPr>
            <w:r>
              <w:rPr>
                <w:rFonts w:cs="Times New Roman" w:ascii="Times New Roman" w:hAnsi="Times New Roman"/>
                <w:sz w:val="20"/>
                <w:szCs w:val="20"/>
                <w:lang w:val="uk-UA" w:eastAsia="uk-UA"/>
              </w:rPr>
              <w:t>Iншi витрати (розшифрувати)</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630</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50</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20</w:t>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5</w:t>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5</w:t>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5</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5</w:t>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b/>
                <w:b/>
                <w:bCs/>
                <w:sz w:val="20"/>
                <w:szCs w:val="20"/>
                <w:lang w:val="uk-UA" w:eastAsia="uk-UA"/>
              </w:rPr>
            </w:pPr>
            <w:r>
              <w:rPr>
                <w:rFonts w:cs="Times New Roman" w:ascii="Times New Roman" w:hAnsi="Times New Roman"/>
                <w:b/>
                <w:bCs/>
                <w:sz w:val="20"/>
                <w:szCs w:val="20"/>
                <w:lang w:val="uk-UA" w:eastAsia="uk-UA"/>
              </w:rPr>
              <w:t>Усього доходiв</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b/>
                <w:b/>
                <w:bCs/>
                <w:sz w:val="20"/>
                <w:szCs w:val="20"/>
                <w:lang w:val="uk-UA" w:eastAsia="uk-UA"/>
              </w:rPr>
            </w:pPr>
            <w:r>
              <w:rPr>
                <w:rFonts w:cs="Times New Roman" w:ascii="Times New Roman" w:hAnsi="Times New Roman"/>
                <w:b/>
                <w:bCs/>
                <w:sz w:val="20"/>
                <w:szCs w:val="20"/>
                <w:lang w:val="uk-UA" w:eastAsia="uk-UA"/>
              </w:rPr>
              <w:t>700</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16607</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b/>
                <w:b/>
                <w:bCs/>
                <w:sz w:val="20"/>
                <w:szCs w:val="20"/>
                <w:lang w:val="uk-UA" w:eastAsia="uk-UA"/>
              </w:rPr>
            </w:pPr>
            <w:r>
              <w:rPr>
                <w:rFonts w:cs="Times New Roman" w:ascii="Times New Roman" w:hAnsi="Times New Roman"/>
                <w:b/>
                <w:bCs/>
                <w:sz w:val="20"/>
                <w:szCs w:val="20"/>
                <w:lang w:val="uk-UA" w:eastAsia="uk-UA"/>
              </w:rPr>
              <w:t>17698</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19</w:t>
            </w:r>
            <w:r>
              <w:rPr>
                <w:rFonts w:cs="Times New Roman" w:ascii="Times New Roman" w:hAnsi="Times New Roman"/>
                <w:b/>
                <w:bCs/>
                <w:sz w:val="20"/>
                <w:szCs w:val="20"/>
                <w:lang w:val="uk-UA" w:eastAsia="uk-UA"/>
              </w:rPr>
              <w:t>7</w:t>
            </w:r>
            <w:r>
              <w:rPr>
                <w:rFonts w:cs="Times New Roman" w:ascii="Times New Roman" w:hAnsi="Times New Roman"/>
                <w:b/>
                <w:bCs/>
                <w:sz w:val="20"/>
                <w:szCs w:val="20"/>
                <w:lang w:val="uk-UA" w:eastAsia="uk-UA"/>
              </w:rPr>
              <w:t>00</w:t>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4300</w:t>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5200</w:t>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5200</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5000</w:t>
            </w:r>
          </w:p>
        </w:tc>
      </w:tr>
      <w:tr>
        <w:trPr>
          <w:trHeight w:val="402"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b/>
                <w:b/>
                <w:bCs/>
                <w:sz w:val="20"/>
                <w:szCs w:val="20"/>
                <w:lang w:val="uk-UA" w:eastAsia="uk-UA"/>
              </w:rPr>
            </w:pPr>
            <w:r>
              <w:rPr>
                <w:rFonts w:cs="Times New Roman" w:ascii="Times New Roman" w:hAnsi="Times New Roman"/>
                <w:b/>
                <w:bCs/>
                <w:sz w:val="20"/>
                <w:szCs w:val="20"/>
                <w:lang w:val="uk-UA" w:eastAsia="uk-UA"/>
              </w:rPr>
              <w:t>Усього витрат</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b/>
                <w:b/>
                <w:bCs/>
                <w:sz w:val="20"/>
                <w:szCs w:val="20"/>
                <w:lang w:val="uk-UA" w:eastAsia="uk-UA"/>
              </w:rPr>
            </w:pPr>
            <w:r>
              <w:rPr>
                <w:rFonts w:cs="Times New Roman" w:ascii="Times New Roman" w:hAnsi="Times New Roman"/>
                <w:b/>
                <w:bCs/>
                <w:sz w:val="20"/>
                <w:szCs w:val="20"/>
                <w:lang w:val="uk-UA" w:eastAsia="uk-UA"/>
              </w:rPr>
              <w:t>800</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16219</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b/>
                <w:b/>
                <w:bCs/>
                <w:sz w:val="20"/>
                <w:szCs w:val="20"/>
                <w:lang w:val="uk-UA" w:eastAsia="uk-UA"/>
              </w:rPr>
            </w:pPr>
            <w:r>
              <w:rPr>
                <w:rFonts w:cs="Times New Roman" w:ascii="Times New Roman" w:hAnsi="Times New Roman"/>
                <w:b/>
                <w:bCs/>
                <w:sz w:val="20"/>
                <w:szCs w:val="20"/>
                <w:lang w:val="uk-UA" w:eastAsia="uk-UA"/>
              </w:rPr>
              <w:t>17603</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19658</w:t>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4285</w:t>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5184</w:t>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5190</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b/>
                <w:bCs/>
                <w:sz w:val="20"/>
                <w:szCs w:val="20"/>
                <w:lang w:val="uk-UA" w:eastAsia="uk-UA"/>
              </w:rPr>
              <w:t>4999</w:t>
            </w:r>
          </w:p>
        </w:tc>
      </w:tr>
      <w:tr>
        <w:trPr>
          <w:trHeight w:val="390"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Нерозподiленi доходи</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850</w:t>
            </w:r>
          </w:p>
        </w:tc>
        <w:tc>
          <w:tcPr>
            <w:tcW w:w="1142"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 </w:t>
            </w:r>
            <w:r>
              <w:rPr>
                <w:rFonts w:cs="Times New Roman" w:ascii="Times New Roman" w:hAnsi="Times New Roman"/>
                <w:sz w:val="20"/>
                <w:szCs w:val="20"/>
                <w:lang w:val="uk-UA" w:eastAsia="uk-UA"/>
              </w:rPr>
              <w:t>+388</w:t>
            </w:r>
          </w:p>
        </w:tc>
        <w:tc>
          <w:tcPr>
            <w:tcW w:w="1330" w:type="dxa"/>
            <w:gridSpan w:val="9"/>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+24</w:t>
            </w:r>
          </w:p>
        </w:tc>
        <w:tc>
          <w:tcPr>
            <w:tcW w:w="818" w:type="dxa"/>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sz w:val="20"/>
                <w:szCs w:val="20"/>
                <w:lang w:val="uk-UA" w:eastAsia="uk-UA"/>
              </w:rPr>
              <w:t>+42</w:t>
            </w:r>
          </w:p>
        </w:tc>
        <w:tc>
          <w:tcPr>
            <w:tcW w:w="1030"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+15</w:t>
            </w:r>
          </w:p>
        </w:tc>
        <w:tc>
          <w:tcPr>
            <w:tcW w:w="849" w:type="dxa"/>
            <w:gridSpan w:val="2"/>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+16</w:t>
            </w:r>
          </w:p>
        </w:tc>
        <w:tc>
          <w:tcPr>
            <w:tcW w:w="1027" w:type="dxa"/>
            <w:gridSpan w:val="3"/>
            <w:tcBorders>
              <w:top w:val="single" w:sz="4" w:space="0" w:color="000000"/>
              <w:left w:val="single" w:sz="4" w:space="0" w:color="000000"/>
              <w:bottom w:val="single" w:sz="4" w:space="0" w:color="000000"/>
              <w:insideH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+10</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+1</w:t>
            </w:r>
          </w:p>
        </w:tc>
      </w:tr>
      <w:tr>
        <w:trPr>
          <w:trHeight w:val="390" w:hRule="atLeast"/>
        </w:trPr>
        <w:tc>
          <w:tcPr>
            <w:tcW w:w="33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b/>
                <w:b/>
                <w:bCs/>
                <w:sz w:val="20"/>
                <w:szCs w:val="20"/>
                <w:lang w:val="uk-UA" w:eastAsia="uk-UA"/>
              </w:rPr>
            </w:pPr>
            <w:r>
              <w:rPr>
                <w:rFonts w:cs="Times New Roman" w:ascii="Times New Roman" w:hAnsi="Times New Roman"/>
                <w:b/>
                <w:bCs/>
                <w:sz w:val="20"/>
                <w:szCs w:val="20"/>
                <w:lang w:val="uk-UA" w:eastAsia="uk-UA"/>
              </w:rPr>
              <w:t>IV. Додаткова iнформацiя</w:t>
            </w:r>
          </w:p>
        </w:tc>
        <w:tc>
          <w:tcPr>
            <w:tcW w:w="60" w:type="dxa"/>
            <w:tcBorders>
              <w:top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b/>
                <w:b/>
                <w:bCs/>
                <w:sz w:val="20"/>
                <w:szCs w:val="20"/>
                <w:lang w:val="uk-UA" w:eastAsia="uk-UA"/>
              </w:rPr>
            </w:pPr>
            <w:r>
              <w:rPr>
                <w:rFonts w:cs="Times New Roman" w:ascii="Times New Roman" w:hAnsi="Times New Roman"/>
                <w:b/>
                <w:bCs/>
                <w:sz w:val="20"/>
                <w:szCs w:val="20"/>
                <w:lang w:val="uk-UA" w:eastAsia="uk-UA"/>
              </w:rPr>
              <w:t> </w:t>
            </w:r>
          </w:p>
        </w:tc>
        <w:tc>
          <w:tcPr>
            <w:tcW w:w="4818" w:type="dxa"/>
            <w:gridSpan w:val="4"/>
            <w:tcBorders>
              <w:top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b/>
                <w:b/>
                <w:bCs/>
                <w:sz w:val="20"/>
                <w:szCs w:val="20"/>
                <w:lang w:val="uk-UA" w:eastAsia="uk-UA"/>
              </w:rPr>
            </w:pPr>
            <w:r>
              <w:rPr>
                <w:rFonts w:cs="Times New Roman" w:ascii="Times New Roman" w:hAnsi="Times New Roman"/>
                <w:b/>
                <w:bCs/>
                <w:sz w:val="20"/>
                <w:szCs w:val="20"/>
                <w:lang w:val="uk-UA" w:eastAsia="uk-UA"/>
              </w:rPr>
              <w:t xml:space="preserve">                                                 </w:t>
            </w:r>
          </w:p>
        </w:tc>
        <w:tc>
          <w:tcPr>
            <w:tcW w:w="1176" w:type="dxa"/>
            <w:gridSpan w:val="5"/>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b/>
                <w:b/>
                <w:bCs/>
                <w:sz w:val="20"/>
                <w:szCs w:val="20"/>
                <w:lang w:val="uk-UA" w:eastAsia="uk-UA"/>
              </w:rPr>
            </w:pPr>
            <w:r>
              <w:rPr>
                <w:rFonts w:cs="Times New Roman" w:ascii="Times New Roman" w:hAnsi="Times New Roman"/>
                <w:b/>
                <w:bCs/>
                <w:sz w:val="20"/>
                <w:szCs w:val="20"/>
                <w:lang w:val="uk-UA" w:eastAsia="uk-UA"/>
              </w:rPr>
              <w:t>на 1.01</w:t>
            </w:r>
          </w:p>
        </w:tc>
        <w:tc>
          <w:tcPr>
            <w:tcW w:w="1261"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b/>
                <w:b/>
                <w:bCs/>
                <w:sz w:val="20"/>
                <w:szCs w:val="20"/>
                <w:lang w:val="uk-UA" w:eastAsia="uk-UA"/>
              </w:rPr>
            </w:pPr>
            <w:r>
              <w:rPr>
                <w:rFonts w:cs="Times New Roman" w:ascii="Times New Roman" w:hAnsi="Times New Roman"/>
                <w:b/>
                <w:bCs/>
                <w:sz w:val="20"/>
                <w:szCs w:val="20"/>
                <w:lang w:val="uk-UA" w:eastAsia="uk-UA"/>
              </w:rPr>
              <w:t>на 1.04</w:t>
            </w:r>
          </w:p>
        </w:tc>
        <w:tc>
          <w:tcPr>
            <w:tcW w:w="853" w:type="dxa"/>
            <w:gridSpan w:val="5"/>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b/>
                <w:b/>
                <w:bCs/>
                <w:sz w:val="20"/>
                <w:szCs w:val="20"/>
                <w:lang w:val="uk-UA" w:eastAsia="uk-UA"/>
              </w:rPr>
            </w:pPr>
            <w:r>
              <w:rPr>
                <w:rFonts w:cs="Times New Roman" w:ascii="Times New Roman" w:hAnsi="Times New Roman"/>
                <w:b/>
                <w:bCs/>
                <w:sz w:val="20"/>
                <w:szCs w:val="20"/>
                <w:lang w:val="uk-UA" w:eastAsia="uk-UA"/>
              </w:rPr>
              <w:t>на 1.07</w:t>
            </w:r>
          </w:p>
        </w:tc>
        <w:tc>
          <w:tcPr>
            <w:tcW w:w="1881" w:type="dxa"/>
            <w:gridSpan w:val="5"/>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b/>
                <w:b/>
                <w:bCs/>
                <w:sz w:val="20"/>
                <w:szCs w:val="20"/>
                <w:lang w:val="uk-UA" w:eastAsia="uk-UA"/>
              </w:rPr>
            </w:pPr>
            <w:r>
              <w:rPr>
                <w:rFonts w:cs="Times New Roman" w:ascii="Times New Roman" w:hAnsi="Times New Roman"/>
                <w:b/>
                <w:bCs/>
                <w:sz w:val="20"/>
                <w:szCs w:val="20"/>
                <w:lang w:val="uk-UA" w:eastAsia="uk-UA"/>
              </w:rPr>
              <w:t>на 1.10</w:t>
            </w:r>
          </w:p>
        </w:tc>
        <w:tc>
          <w:tcPr>
            <w:tcW w:w="198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cs="Times New Roman"/>
                <w:b/>
                <w:b/>
                <w:bCs/>
                <w:sz w:val="20"/>
                <w:szCs w:val="20"/>
                <w:lang w:val="uk-UA" w:eastAsia="uk-UA"/>
              </w:rPr>
            </w:pPr>
            <w:r>
              <w:rPr>
                <w:rFonts w:cs="Times New Roman" w:ascii="Times New Roman" w:hAnsi="Times New Roman"/>
                <w:b/>
                <w:bCs/>
                <w:sz w:val="20"/>
                <w:szCs w:val="20"/>
                <w:lang w:val="uk-UA" w:eastAsia="uk-UA"/>
              </w:rPr>
              <w:t>на 31.12</w:t>
            </w:r>
          </w:p>
        </w:tc>
      </w:tr>
      <w:tr>
        <w:trPr>
          <w:trHeight w:val="390"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pPr>
            <w:r>
              <w:rPr/>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pPr>
            <w:r>
              <w:rPr/>
            </w:r>
          </w:p>
        </w:tc>
        <w:tc>
          <w:tcPr>
            <w:tcW w:w="1142" w:type="dxa"/>
            <w:gridSpan w:val="3"/>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330" w:type="dxa"/>
            <w:gridSpan w:val="9"/>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81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874"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990"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r>
      <w:tr>
        <w:trPr>
          <w:trHeight w:val="390"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Штатна чисельнiсть працiвникiв</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900</w:t>
            </w:r>
          </w:p>
        </w:tc>
        <w:tc>
          <w:tcPr>
            <w:tcW w:w="1142" w:type="dxa"/>
            <w:gridSpan w:val="3"/>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pPr>
            <w:r>
              <w:rPr>
                <w:rFonts w:cs="Times New Roman" w:ascii="Times New Roman" w:hAnsi="Times New Roman"/>
                <w:sz w:val="20"/>
                <w:szCs w:val="20"/>
                <w:lang w:val="uk-UA" w:eastAsia="uk-UA"/>
              </w:rPr>
              <w:t>33</w:t>
            </w:r>
          </w:p>
        </w:tc>
        <w:tc>
          <w:tcPr>
            <w:tcW w:w="1330" w:type="dxa"/>
            <w:gridSpan w:val="9"/>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31</w:t>
            </w:r>
          </w:p>
        </w:tc>
        <w:tc>
          <w:tcPr>
            <w:tcW w:w="81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pPr>
            <w:r>
              <w:rPr>
                <w:rFonts w:cs="Times New Roman" w:ascii="Times New Roman" w:hAnsi="Times New Roman"/>
                <w:sz w:val="20"/>
                <w:szCs w:val="20"/>
                <w:lang w:val="uk-UA" w:eastAsia="uk-UA"/>
              </w:rPr>
              <w:t>31</w:t>
            </w:r>
          </w:p>
        </w:tc>
        <w:tc>
          <w:tcPr>
            <w:tcW w:w="1874" w:type="dxa"/>
            <w:gridSpan w:val="4"/>
            <w:vMerge w:val="restart"/>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990" w:type="dxa"/>
            <w:gridSpan w:val="5"/>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pPr>
            <w:r>
              <w:rPr>
                <w:rFonts w:cs="Times New Roman" w:ascii="Times New Roman" w:hAnsi="Times New Roman"/>
                <w:sz w:val="20"/>
                <w:szCs w:val="20"/>
                <w:lang w:val="uk-UA" w:eastAsia="uk-UA"/>
              </w:rPr>
              <w:t>31</w:t>
            </w:r>
          </w:p>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r>
      <w:tr>
        <w:trPr>
          <w:trHeight w:val="390"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Первiсна вартiсть основних засобiв</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910</w:t>
            </w:r>
          </w:p>
        </w:tc>
        <w:tc>
          <w:tcPr>
            <w:tcW w:w="1142" w:type="dxa"/>
            <w:gridSpan w:val="3"/>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pPr>
            <w:r>
              <w:rPr>
                <w:rFonts w:cs="Times New Roman" w:ascii="Times New Roman" w:hAnsi="Times New Roman"/>
                <w:sz w:val="20"/>
                <w:szCs w:val="20"/>
                <w:lang w:val="uk-UA" w:eastAsia="uk-UA"/>
              </w:rPr>
              <w:t>1848</w:t>
            </w:r>
          </w:p>
        </w:tc>
        <w:tc>
          <w:tcPr>
            <w:tcW w:w="1330" w:type="dxa"/>
            <w:gridSpan w:val="9"/>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2968</w:t>
            </w:r>
          </w:p>
        </w:tc>
        <w:tc>
          <w:tcPr>
            <w:tcW w:w="81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874" w:type="dxa"/>
            <w:gridSpan w:val="4"/>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bidi w:val="0"/>
              <w:spacing w:lineRule="auto" w:line="276" w:before="0" w:after="200"/>
              <w:jc w:val="left"/>
              <w:rPr/>
            </w:pPr>
            <w:r>
              <w:rPr/>
            </w:r>
          </w:p>
        </w:tc>
        <w:tc>
          <w:tcPr>
            <w:tcW w:w="1990" w:type="dxa"/>
            <w:gridSpan w:val="5"/>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lineRule="auto" w:line="276" w:before="0" w:after="200"/>
              <w:jc w:val="left"/>
              <w:rPr/>
            </w:pPr>
            <w:r>
              <w:rPr/>
            </w:r>
          </w:p>
        </w:tc>
      </w:tr>
      <w:tr>
        <w:trPr>
          <w:trHeight w:val="390"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Податкова заборгованiсть</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920</w:t>
            </w:r>
          </w:p>
        </w:tc>
        <w:tc>
          <w:tcPr>
            <w:tcW w:w="1142" w:type="dxa"/>
            <w:gridSpan w:val="3"/>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pPr>
            <w:r>
              <w:rPr>
                <w:rFonts w:cs="Times New Roman" w:ascii="Times New Roman" w:hAnsi="Times New Roman"/>
                <w:sz w:val="20"/>
                <w:szCs w:val="20"/>
                <w:lang w:val="uk-UA" w:eastAsia="uk-UA"/>
              </w:rPr>
              <w:t>0</w:t>
            </w:r>
          </w:p>
        </w:tc>
        <w:tc>
          <w:tcPr>
            <w:tcW w:w="1330" w:type="dxa"/>
            <w:gridSpan w:val="9"/>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81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874" w:type="dxa"/>
            <w:gridSpan w:val="4"/>
            <w:vMerge w:val="restart"/>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32"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r>
      <w:tr>
        <w:trPr>
          <w:trHeight w:val="390" w:hRule="atLeast"/>
        </w:trPr>
        <w:tc>
          <w:tcPr>
            <w:tcW w:w="7515"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Заборгованiсть перед працiвниками за заробiтною платою</w:t>
            </w:r>
          </w:p>
        </w:tc>
        <w:tc>
          <w:tcPr>
            <w:tcW w:w="7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930</w:t>
            </w:r>
          </w:p>
        </w:tc>
        <w:tc>
          <w:tcPr>
            <w:tcW w:w="1142" w:type="dxa"/>
            <w:gridSpan w:val="3"/>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pPr>
            <w:r>
              <w:rPr>
                <w:rFonts w:cs="Times New Roman" w:ascii="Times New Roman" w:hAnsi="Times New Roman"/>
                <w:sz w:val="20"/>
                <w:szCs w:val="20"/>
                <w:lang w:val="uk-UA" w:eastAsia="uk-UA"/>
              </w:rPr>
              <w:t>228</w:t>
            </w:r>
          </w:p>
        </w:tc>
        <w:tc>
          <w:tcPr>
            <w:tcW w:w="1330" w:type="dxa"/>
            <w:gridSpan w:val="9"/>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243</w:t>
            </w:r>
          </w:p>
        </w:tc>
        <w:tc>
          <w:tcPr>
            <w:tcW w:w="81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874" w:type="dxa"/>
            <w:gridSpan w:val="4"/>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bidi w:val="0"/>
              <w:spacing w:lineRule="auto" w:line="276" w:before="0" w:after="200"/>
              <w:jc w:val="left"/>
              <w:rPr/>
            </w:pPr>
            <w:r>
              <w:rPr/>
            </w:r>
          </w:p>
        </w:tc>
        <w:tc>
          <w:tcPr>
            <w:tcW w:w="1032" w:type="dxa"/>
            <w:gridSpan w:val="4"/>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w:t>
            </w:r>
          </w:p>
        </w:tc>
      </w:tr>
      <w:tr>
        <w:trPr>
          <w:trHeight w:val="390" w:hRule="atLeast"/>
        </w:trPr>
        <w:tc>
          <w:tcPr>
            <w:tcW w:w="7515" w:type="dxa"/>
            <w:gridSpan w:val="4"/>
            <w:tcBorders/>
            <w:shd w:fill="auto" w:val="clear"/>
            <w:vAlign w:val="center"/>
          </w:tcPr>
          <w:p>
            <w:pPr>
              <w:pStyle w:val="Normal"/>
              <w:snapToGrid w:val="false"/>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704" w:type="dxa"/>
            <w:tcBorders/>
            <w:shd w:fill="auto" w:val="clear"/>
            <w:vAlign w:val="center"/>
          </w:tcPr>
          <w:p>
            <w:pPr>
              <w:pStyle w:val="Normal"/>
              <w:snapToGrid w:val="false"/>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142" w:type="dxa"/>
            <w:gridSpan w:val="3"/>
            <w:tcBorders/>
            <w:shd w:fill="auto" w:val="clear"/>
            <w:vAlign w:val="center"/>
          </w:tcPr>
          <w:p>
            <w:pPr>
              <w:pStyle w:val="Normal"/>
              <w:snapToGrid w:val="false"/>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330" w:type="dxa"/>
            <w:gridSpan w:val="9"/>
            <w:tcBorders/>
            <w:shd w:fill="auto" w:val="clear"/>
            <w:vAlign w:val="center"/>
          </w:tcPr>
          <w:p>
            <w:pPr>
              <w:pStyle w:val="Normal"/>
              <w:snapToGrid w:val="false"/>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818" w:type="dxa"/>
            <w:tcBorders/>
            <w:shd w:fill="auto" w:val="clear"/>
            <w:vAlign w:val="center"/>
          </w:tcPr>
          <w:p>
            <w:pPr>
              <w:pStyle w:val="Normal"/>
              <w:snapToGrid w:val="false"/>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30" w:type="dxa"/>
            <w:gridSpan w:val="3"/>
            <w:tcBorders/>
            <w:shd w:fill="auto" w:val="clear"/>
            <w:vAlign w:val="center"/>
          </w:tcPr>
          <w:p>
            <w:pPr>
              <w:pStyle w:val="Normal"/>
              <w:snapToGrid w:val="false"/>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849" w:type="dxa"/>
            <w:gridSpan w:val="2"/>
            <w:tcBorders/>
            <w:shd w:fill="auto" w:val="clear"/>
            <w:vAlign w:val="center"/>
          </w:tcPr>
          <w:p>
            <w:pPr>
              <w:pStyle w:val="Normal"/>
              <w:snapToGrid w:val="false"/>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27" w:type="dxa"/>
            <w:gridSpan w:val="3"/>
            <w:tcBorders/>
            <w:shd w:fill="auto" w:val="clear"/>
            <w:vAlign w:val="center"/>
          </w:tcPr>
          <w:p>
            <w:pPr>
              <w:pStyle w:val="Normal"/>
              <w:snapToGrid w:val="false"/>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958" w:type="dxa"/>
            <w:tcBorders/>
            <w:shd w:fill="auto" w:val="clear"/>
            <w:vAlign w:val="center"/>
          </w:tcPr>
          <w:p>
            <w:pPr>
              <w:pStyle w:val="Normal"/>
              <w:snapToGrid w:val="false"/>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r>
      <w:tr>
        <w:trPr>
          <w:trHeight w:val="330" w:hRule="atLeast"/>
        </w:trPr>
        <w:tc>
          <w:tcPr>
            <w:tcW w:w="7515" w:type="dxa"/>
            <w:gridSpan w:val="4"/>
            <w:tcBorders/>
            <w:shd w:fill="auto" w:val="clear"/>
            <w:vAlign w:val="center"/>
          </w:tcPr>
          <w:p>
            <w:pPr>
              <w:pStyle w:val="Normal"/>
              <w:snapToGrid w:val="false"/>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704" w:type="dxa"/>
            <w:tcBorders/>
            <w:shd w:fill="auto" w:val="clear"/>
            <w:vAlign w:val="center"/>
          </w:tcPr>
          <w:p>
            <w:pPr>
              <w:pStyle w:val="Normal"/>
              <w:snapToGrid w:val="false"/>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142" w:type="dxa"/>
            <w:gridSpan w:val="3"/>
            <w:tcBorders/>
            <w:shd w:fill="auto" w:val="clear"/>
            <w:vAlign w:val="center"/>
          </w:tcPr>
          <w:p>
            <w:pPr>
              <w:pStyle w:val="Normal"/>
              <w:snapToGrid w:val="false"/>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330" w:type="dxa"/>
            <w:gridSpan w:val="9"/>
            <w:tcBorders/>
            <w:shd w:fill="auto" w:val="clear"/>
            <w:vAlign w:val="center"/>
          </w:tcPr>
          <w:p>
            <w:pPr>
              <w:pStyle w:val="Normal"/>
              <w:snapToGrid w:val="false"/>
              <w:spacing w:lineRule="auto" w:line="240" w:before="0" w:after="0"/>
              <w:jc w:val="right"/>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818" w:type="dxa"/>
            <w:tcBorders/>
            <w:shd w:fill="auto" w:val="clear"/>
            <w:vAlign w:val="center"/>
          </w:tcPr>
          <w:p>
            <w:pPr>
              <w:pStyle w:val="Normal"/>
              <w:snapToGrid w:val="false"/>
              <w:spacing w:lineRule="auto" w:line="240" w:before="0" w:after="0"/>
              <w:jc w:val="right"/>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30" w:type="dxa"/>
            <w:gridSpan w:val="3"/>
            <w:tcBorders/>
            <w:shd w:fill="auto" w:val="clear"/>
            <w:vAlign w:val="center"/>
          </w:tcPr>
          <w:p>
            <w:pPr>
              <w:pStyle w:val="Normal"/>
              <w:snapToGrid w:val="false"/>
              <w:spacing w:lineRule="auto" w:line="240" w:before="0" w:after="0"/>
              <w:jc w:val="right"/>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849" w:type="dxa"/>
            <w:gridSpan w:val="2"/>
            <w:tcBorders/>
            <w:shd w:fill="auto" w:val="clear"/>
            <w:vAlign w:val="center"/>
          </w:tcPr>
          <w:p>
            <w:pPr>
              <w:pStyle w:val="Normal"/>
              <w:snapToGrid w:val="false"/>
              <w:spacing w:lineRule="auto" w:line="240" w:before="0" w:after="0"/>
              <w:jc w:val="right"/>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27" w:type="dxa"/>
            <w:gridSpan w:val="3"/>
            <w:tcBorders/>
            <w:shd w:fill="auto" w:val="clear"/>
            <w:vAlign w:val="center"/>
          </w:tcPr>
          <w:p>
            <w:pPr>
              <w:pStyle w:val="Normal"/>
              <w:snapToGrid w:val="false"/>
              <w:spacing w:lineRule="auto" w:line="240" w:before="0" w:after="0"/>
              <w:jc w:val="right"/>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958" w:type="dxa"/>
            <w:tcBorders/>
            <w:shd w:fill="auto" w:val="clear"/>
            <w:vAlign w:val="center"/>
          </w:tcPr>
          <w:p>
            <w:pPr>
              <w:pStyle w:val="Normal"/>
              <w:snapToGrid w:val="false"/>
              <w:spacing w:lineRule="auto" w:line="240" w:before="0" w:after="0"/>
              <w:jc w:val="right"/>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r>
      <w:tr>
        <w:trPr>
          <w:trHeight w:val="402" w:hRule="atLeast"/>
        </w:trPr>
        <w:tc>
          <w:tcPr>
            <w:tcW w:w="3344" w:type="dxa"/>
            <w:tcBorders/>
            <w:shd w:fill="auto" w:val="clear"/>
            <w:vAlign w:val="center"/>
          </w:tcPr>
          <w:p>
            <w:pPr>
              <w:pStyle w:val="Normal"/>
              <w:spacing w:lineRule="auto" w:line="240" w:before="0" w:after="0"/>
              <w:rPr/>
            </w:pPr>
            <w:r>
              <w:rPr>
                <w:rFonts w:cs="Times New Roman" w:ascii="Times New Roman" w:hAnsi="Times New Roman"/>
                <w:b/>
                <w:bCs/>
                <w:sz w:val="20"/>
                <w:szCs w:val="20"/>
                <w:lang w:val="uk-UA" w:eastAsia="uk-UA"/>
              </w:rPr>
              <w:t xml:space="preserve">Керiвник </w:t>
            </w:r>
            <w:r>
              <w:rPr>
                <w:rFonts w:cs="Times New Roman" w:ascii="Times New Roman" w:hAnsi="Times New Roman"/>
                <w:sz w:val="20"/>
                <w:szCs w:val="20"/>
                <w:lang w:val="uk-UA" w:eastAsia="uk-UA"/>
              </w:rPr>
              <w:t>_____________________</w:t>
            </w:r>
          </w:p>
        </w:tc>
        <w:tc>
          <w:tcPr>
            <w:tcW w:w="60" w:type="dxa"/>
            <w:tcBorders/>
            <w:shd w:fill="auto" w:val="clear"/>
            <w:vAlign w:val="center"/>
          </w:tcPr>
          <w:p>
            <w:pPr>
              <w:pStyle w:val="Normal"/>
              <w:snapToGrid w:val="false"/>
              <w:spacing w:lineRule="auto" w:line="240" w:before="0" w:after="0"/>
              <w:jc w:val="center"/>
              <w:rPr>
                <w:rFonts w:ascii="Times New Roman" w:hAnsi="Times New Roman" w:cs="Times New Roman"/>
                <w:b/>
                <w:b/>
                <w:bCs/>
                <w:sz w:val="20"/>
                <w:szCs w:val="20"/>
                <w:lang w:val="uk-UA" w:eastAsia="uk-UA"/>
              </w:rPr>
            </w:pPr>
            <w:r>
              <w:rPr>
                <w:rFonts w:cs="Times New Roman" w:ascii="Times New Roman" w:hAnsi="Times New Roman"/>
                <w:b/>
                <w:bCs/>
                <w:sz w:val="20"/>
                <w:szCs w:val="20"/>
                <w:lang w:val="uk-UA" w:eastAsia="uk-UA"/>
              </w:rPr>
            </w:r>
          </w:p>
        </w:tc>
        <w:tc>
          <w:tcPr>
            <w:tcW w:w="4818" w:type="dxa"/>
            <w:gridSpan w:val="4"/>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_________________________</w:t>
            </w:r>
          </w:p>
        </w:tc>
        <w:tc>
          <w:tcPr>
            <w:tcW w:w="1176" w:type="dxa"/>
            <w:gridSpan w:val="5"/>
            <w:tcBorders/>
            <w:shd w:fill="auto" w:val="clear"/>
            <w:vAlign w:val="center"/>
          </w:tcPr>
          <w:p>
            <w:pPr>
              <w:pStyle w:val="Normal"/>
              <w:snapToGrid w:val="false"/>
              <w:spacing w:lineRule="auto" w:line="240" w:before="0" w:after="0"/>
              <w:rPr>
                <w:rFonts w:ascii="Times New Roman" w:hAnsi="Times New Roman" w:cs="Times New Roman"/>
                <w:i/>
                <w:i/>
                <w:iCs/>
                <w:sz w:val="20"/>
                <w:szCs w:val="20"/>
                <w:lang w:val="uk-UA" w:eastAsia="uk-UA"/>
              </w:rPr>
            </w:pPr>
            <w:r>
              <w:rPr>
                <w:rFonts w:cs="Times New Roman" w:ascii="Times New Roman" w:hAnsi="Times New Roman"/>
                <w:i/>
                <w:iCs/>
                <w:sz w:val="20"/>
                <w:szCs w:val="20"/>
                <w:lang w:val="uk-UA" w:eastAsia="uk-UA"/>
              </w:rPr>
            </w:r>
          </w:p>
        </w:tc>
        <w:tc>
          <w:tcPr>
            <w:tcW w:w="5975" w:type="dxa"/>
            <w:gridSpan w:val="16"/>
            <w:tcBorders>
              <w:top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Воєвода С.Г</w:t>
            </w:r>
          </w:p>
        </w:tc>
      </w:tr>
      <w:tr>
        <w:trPr>
          <w:trHeight w:val="402" w:hRule="atLeast"/>
        </w:trPr>
        <w:tc>
          <w:tcPr>
            <w:tcW w:w="3344" w:type="dxa"/>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xml:space="preserve">                                </w:t>
            </w:r>
            <w:r>
              <w:rPr>
                <w:rFonts w:cs="Times New Roman" w:ascii="Times New Roman" w:hAnsi="Times New Roman"/>
                <w:sz w:val="20"/>
                <w:szCs w:val="20"/>
                <w:lang w:val="uk-UA" w:eastAsia="uk-UA"/>
              </w:rPr>
              <w:t>(посада)</w:t>
            </w:r>
          </w:p>
        </w:tc>
        <w:tc>
          <w:tcPr>
            <w:tcW w:w="60" w:type="dxa"/>
            <w:tcBorders/>
            <w:shd w:fill="auto" w:val="clear"/>
            <w:vAlign w:val="center"/>
          </w:tcPr>
          <w:p>
            <w:pPr>
              <w:pStyle w:val="Normal"/>
              <w:snapToGrid w:val="false"/>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4818" w:type="dxa"/>
            <w:gridSpan w:val="4"/>
            <w:tcBorders/>
            <w:shd w:fill="auto" w:val="clear"/>
            <w:vAlign w:val="center"/>
          </w:tcPr>
          <w:p>
            <w:pPr>
              <w:pStyle w:val="Normal"/>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xml:space="preserve">               </w:t>
            </w:r>
            <w:r>
              <w:rPr>
                <w:rFonts w:cs="Times New Roman" w:ascii="Times New Roman" w:hAnsi="Times New Roman"/>
                <w:sz w:val="20"/>
                <w:szCs w:val="20"/>
                <w:lang w:val="uk-UA" w:eastAsia="uk-UA"/>
              </w:rPr>
              <w:t>(пiдпис)</w:t>
            </w:r>
          </w:p>
        </w:tc>
        <w:tc>
          <w:tcPr>
            <w:tcW w:w="1176" w:type="dxa"/>
            <w:gridSpan w:val="5"/>
            <w:tcBorders/>
            <w:shd w:fill="auto" w:val="clear"/>
            <w:vAlign w:val="center"/>
          </w:tcPr>
          <w:p>
            <w:pPr>
              <w:pStyle w:val="Normal"/>
              <w:snapToGrid w:val="false"/>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5975" w:type="dxa"/>
            <w:gridSpan w:val="16"/>
            <w:tcBorders/>
            <w:shd w:fill="auto" w:val="clear"/>
            <w:vAlign w:val="center"/>
          </w:tcPr>
          <w:p>
            <w:pPr>
              <w:pStyle w:val="Normal"/>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t xml:space="preserve">         </w:t>
            </w:r>
            <w:r>
              <w:rPr>
                <w:rFonts w:cs="Times New Roman" w:ascii="Times New Roman" w:hAnsi="Times New Roman"/>
                <w:sz w:val="20"/>
                <w:szCs w:val="20"/>
                <w:lang w:val="uk-UA" w:eastAsia="uk-UA"/>
              </w:rPr>
              <w:t xml:space="preserve">(iнiцiали, прiзвище)    </w:t>
            </w:r>
          </w:p>
        </w:tc>
      </w:tr>
      <w:tr>
        <w:trPr>
          <w:trHeight w:val="402" w:hRule="atLeast"/>
        </w:trPr>
        <w:tc>
          <w:tcPr>
            <w:tcW w:w="7515" w:type="dxa"/>
            <w:gridSpan w:val="4"/>
            <w:tcBorders/>
            <w:shd w:fill="auto" w:val="clear"/>
            <w:vAlign w:val="center"/>
          </w:tcPr>
          <w:p>
            <w:pPr>
              <w:pStyle w:val="Normal"/>
              <w:snapToGrid w:val="false"/>
              <w:spacing w:lineRule="auto" w:line="240" w:before="0" w:after="0"/>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704" w:type="dxa"/>
            <w:tcBorders/>
            <w:shd w:fill="auto" w:val="clear"/>
            <w:vAlign w:val="center"/>
          </w:tcPr>
          <w:p>
            <w:pPr>
              <w:pStyle w:val="Normal"/>
              <w:snapToGrid w:val="false"/>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142" w:type="dxa"/>
            <w:gridSpan w:val="3"/>
            <w:tcBorders/>
            <w:shd w:fill="auto" w:val="clear"/>
            <w:vAlign w:val="center"/>
          </w:tcPr>
          <w:p>
            <w:pPr>
              <w:pStyle w:val="Normal"/>
              <w:snapToGrid w:val="false"/>
              <w:spacing w:lineRule="auto" w:line="240" w:before="0" w:after="0"/>
              <w:jc w:val="center"/>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330" w:type="dxa"/>
            <w:gridSpan w:val="9"/>
            <w:tcBorders/>
            <w:shd w:fill="auto" w:val="clear"/>
            <w:vAlign w:val="center"/>
          </w:tcPr>
          <w:p>
            <w:pPr>
              <w:pStyle w:val="Normal"/>
              <w:snapToGrid w:val="false"/>
              <w:spacing w:lineRule="auto" w:line="240" w:before="0" w:after="0"/>
              <w:jc w:val="right"/>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818" w:type="dxa"/>
            <w:tcBorders/>
            <w:shd w:fill="auto" w:val="clear"/>
            <w:vAlign w:val="center"/>
          </w:tcPr>
          <w:p>
            <w:pPr>
              <w:pStyle w:val="Normal"/>
              <w:snapToGrid w:val="false"/>
              <w:spacing w:lineRule="auto" w:line="240" w:before="0" w:after="0"/>
              <w:jc w:val="right"/>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30" w:type="dxa"/>
            <w:gridSpan w:val="3"/>
            <w:tcBorders/>
            <w:shd w:fill="auto" w:val="clear"/>
            <w:vAlign w:val="center"/>
          </w:tcPr>
          <w:p>
            <w:pPr>
              <w:pStyle w:val="Normal"/>
              <w:snapToGrid w:val="false"/>
              <w:spacing w:lineRule="auto" w:line="240" w:before="0" w:after="0"/>
              <w:jc w:val="right"/>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849" w:type="dxa"/>
            <w:gridSpan w:val="2"/>
            <w:tcBorders/>
            <w:shd w:fill="auto" w:val="clear"/>
            <w:vAlign w:val="center"/>
          </w:tcPr>
          <w:p>
            <w:pPr>
              <w:pStyle w:val="Normal"/>
              <w:snapToGrid w:val="false"/>
              <w:spacing w:lineRule="auto" w:line="240" w:before="0" w:after="0"/>
              <w:jc w:val="right"/>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1027" w:type="dxa"/>
            <w:gridSpan w:val="3"/>
            <w:tcBorders/>
            <w:shd w:fill="auto" w:val="clear"/>
            <w:vAlign w:val="center"/>
          </w:tcPr>
          <w:p>
            <w:pPr>
              <w:pStyle w:val="Normal"/>
              <w:snapToGrid w:val="false"/>
              <w:spacing w:lineRule="auto" w:line="240" w:before="0" w:after="0"/>
              <w:jc w:val="right"/>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c>
          <w:tcPr>
            <w:tcW w:w="958" w:type="dxa"/>
            <w:tcBorders/>
            <w:shd w:fill="auto" w:val="clear"/>
            <w:vAlign w:val="center"/>
          </w:tcPr>
          <w:p>
            <w:pPr>
              <w:pStyle w:val="Normal"/>
              <w:snapToGrid w:val="false"/>
              <w:spacing w:lineRule="auto" w:line="240" w:before="0" w:after="0"/>
              <w:jc w:val="right"/>
              <w:rPr>
                <w:rFonts w:ascii="Times New Roman" w:hAnsi="Times New Roman" w:cs="Times New Roman"/>
                <w:sz w:val="20"/>
                <w:szCs w:val="20"/>
                <w:lang w:val="uk-UA" w:eastAsia="uk-UA"/>
              </w:rPr>
            </w:pPr>
            <w:r>
              <w:rPr>
                <w:rFonts w:cs="Times New Roman" w:ascii="Times New Roman" w:hAnsi="Times New Roman"/>
                <w:sz w:val="20"/>
                <w:szCs w:val="20"/>
                <w:lang w:val="uk-UA" w:eastAsia="uk-UA"/>
              </w:rPr>
            </w:r>
          </w:p>
        </w:tc>
      </w:tr>
    </w:tbl>
    <w:p>
      <w:pPr>
        <w:sectPr>
          <w:type w:val="nextPage"/>
          <w:pgSz w:orient="landscape" w:w="16838" w:h="11906"/>
          <w:pgMar w:left="1077" w:right="567" w:header="0" w:top="1701" w:footer="0" w:bottom="851" w:gutter="0"/>
          <w:pgNumType w:fmt="decimal"/>
          <w:formProt w:val="false"/>
          <w:textDirection w:val="lrTb"/>
          <w:docGrid w:type="default" w:linePitch="360" w:charSpace="0"/>
        </w:sectPr>
        <w:pStyle w:val="Normal"/>
        <w:rPr/>
      </w:pPr>
      <w:r>
        <w:rPr/>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Секретар мiської  ради</w:t>
        <w:tab/>
        <w:t xml:space="preserve">                                                           О. ГРАСУЛОВ  </w:t>
        <w:tab/>
        <w:tab/>
        <w:tab/>
        <w:tab/>
        <w:tab/>
        <w:tab/>
        <w:t xml:space="preserve">                              </w:t>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Голова постiйної комiсiї                                                           </w:t>
        <w:tab/>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з питань бюджету                                                                     Д. ФАРТУШОК</w:t>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Перший заступник мiського голови </w:t>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з питань дiяльностi виконавчих органiв ради                        Д. БАЛКО</w:t>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Начальник мiського фiнансового                                     </w:t>
        <w:tab/>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управлiння</w:t>
        <w:tab/>
        <w:tab/>
        <w:tab/>
        <w:t xml:space="preserve">                                                            Л. СЕМЕНТУХ</w:t>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Начальник юридичного вiддiлу                                               В. ЦЮПА</w:t>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before="0" w:after="0"/>
        <w:jc w:val="both"/>
        <w:rPr/>
      </w:pPr>
      <w:r>
        <w:rPr/>
      </w:r>
    </w:p>
    <w:sectPr>
      <w:type w:val="nextPage"/>
      <w:pgSz w:w="11906" w:h="16838"/>
      <w:pgMar w:left="1701" w:right="851" w:header="0" w:top="567" w:footer="0" w:bottom="107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ymbol">
    <w:charset w:val="cc"/>
    <w:family w:val="roman"/>
    <w:pitch w:val="variable"/>
  </w:font>
  <w:font w:name="Courier New">
    <w:charset w:val="cc"/>
    <w:family w:val="roman"/>
    <w:pitch w:val="variable"/>
  </w:font>
  <w:font w:name="Wingdings">
    <w:charset w:val="cc"/>
    <w:family w:val="roman"/>
    <w:pitch w:val="variable"/>
  </w:font>
  <w:font w:name="Tahoma">
    <w:charset w:val="cc"/>
    <w:family w:val="roman"/>
    <w:pitch w:val="variable"/>
  </w:font>
  <w:font w:name="OpenSymbol">
    <w:altName w:val="Arial Unicode MS"/>
    <w:charset w:val="cc"/>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decimal"/>
      <w:lvlText w:val="%1."/>
      <w:lvlJc w:val="left"/>
      <w:pPr>
        <w:ind w:left="720" w:hanging="360"/>
      </w:pPr>
      <w:rPr>
        <w:sz w:val="26"/>
        <w:szCs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708"/>
        </w:tabs>
        <w:ind w:left="807" w:hanging="140"/>
      </w:pPr>
      <w:rPr>
        <w:rFonts w:ascii="Times New Roman" w:hAnsi="Times New Roman" w:cs="Times New Roman" w:hint="default"/>
        <w:sz w:val="26"/>
        <w:szCs w:val="24"/>
        <w:w w:val="99"/>
        <w:rFonts w:cs="Times New Roman"/>
        <w:lang w:val="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08"/>
        </w:tabs>
        <w:ind w:left="102" w:hanging="331"/>
      </w:pPr>
      <w:rPr>
        <w:sz w:val="26"/>
        <w:spacing w:val="-30"/>
        <w:szCs w:val="28"/>
        <w:w w:val="100"/>
        <w:rFonts w:ascii="Times New Roman" w:hAnsi="Times New Roman" w:eastAsia="Times New Roman" w:cs="Times New Roman"/>
        <w:lang w:val="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ru-RU" w:eastAsia="zh-CN" w:bidi="hi-IN"/>
      </w:rPr>
    </w:rPrDefault>
    <w:pPrDefault>
      <w:pPr/>
    </w:pPrDefault>
  </w:docDefaults>
  <w:style w:type="paragraph" w:styleId="Normal">
    <w:name w:val="Normal"/>
    <w:qFormat/>
    <w:pPr>
      <w:widowControl/>
      <w:overflowPunct w:val="true"/>
      <w:bidi w:val="0"/>
      <w:spacing w:lineRule="auto" w:line="276" w:before="0" w:after="200"/>
      <w:jc w:val="left"/>
    </w:pPr>
    <w:rPr>
      <w:rFonts w:ascii="Calibri" w:hAnsi="Calibri" w:eastAsia="Times New Roman" w:cs="Calibri"/>
      <w:color w:val="auto"/>
      <w:kern w:val="0"/>
      <w:sz w:val="22"/>
      <w:szCs w:val="22"/>
      <w:lang w:val="ru-RU" w:eastAsia="zh-CN" w:bidi="ar-SA"/>
    </w:rPr>
  </w:style>
  <w:style w:type="paragraph" w:styleId="1">
    <w:name w:val="Heading 1"/>
    <w:basedOn w:val="Normal"/>
    <w:next w:val="Normal"/>
    <w:qFormat/>
    <w:pPr>
      <w:keepNext w:val="true"/>
      <w:numPr>
        <w:ilvl w:val="0"/>
        <w:numId w:val="1"/>
      </w:numPr>
      <w:tabs>
        <w:tab w:val="left" w:pos="935" w:leader="none"/>
      </w:tabs>
      <w:spacing w:lineRule="auto" w:line="240" w:before="0" w:after="0"/>
      <w:ind w:left="0" w:right="0" w:firstLine="561"/>
      <w:jc w:val="both"/>
      <w:outlineLvl w:val="0"/>
    </w:pPr>
    <w:rPr>
      <w:rFonts w:ascii="Times New Roman" w:hAnsi="Times New Roman" w:cs="Times New Roman"/>
      <w:sz w:val="24"/>
      <w:szCs w:val="24"/>
      <w:lang w:val="uk-U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z w:val="26"/>
      <w:szCs w:val="26"/>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2"/>
      <w:sz w:val="22"/>
      <w:szCs w:val="22"/>
      <w:u w:val="none"/>
      <w:vertAlign w:val="baseline"/>
      <w:lang w:val="uk-UA" w:bidi="uk-UA"/>
    </w:rPr>
  </w:style>
  <w:style w:type="character" w:styleId="WW8Num6z1">
    <w:name w:val="WW8Num6z1"/>
    <w:qFormat/>
    <w:rPr/>
  </w:style>
  <w:style w:type="character" w:styleId="WW8Num6z2">
    <w:name w:val="WW8Num6z2"/>
    <w:qFormat/>
    <w:rPr>
      <w:rFonts w:ascii="Symbol" w:hAnsi="Symbol" w:cs="Symbol"/>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8z0">
    <w:name w:val="WW8Num8z0"/>
    <w:qFormat/>
    <w:rPr>
      <w:rFonts w:ascii="Times New Roman" w:hAnsi="Times New Roman" w:eastAsia="Times New Roman" w:cs="Times New Roman"/>
      <w:w w:val="99"/>
      <w:sz w:val="24"/>
      <w:szCs w:val="24"/>
      <w:lang w:val="ru-RU" w:bidi="ru-RU"/>
    </w:rPr>
  </w:style>
  <w:style w:type="character" w:styleId="WW8Num8z1">
    <w:name w:val="WW8Num8z1"/>
    <w:qFormat/>
    <w:rPr>
      <w:lang w:val="ru-RU" w:bidi="ru-RU"/>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WW8Num10z1">
    <w:name w:val="WW8Num10z1"/>
    <w:qFormat/>
    <w:rPr>
      <w:strike w:val="false"/>
      <w:dstrike w:val="false"/>
    </w:rPr>
  </w:style>
  <w:style w:type="character" w:styleId="WW8Num11z0">
    <w:name w:val="WW8Num11z0"/>
    <w:qFormat/>
    <w:rPr>
      <w:rFonts w:ascii="Times New Roman" w:hAnsi="Times New Roman" w:eastAsia="Times New Roman" w:cs="Times New Roman"/>
      <w:spacing w:val="-30"/>
      <w:w w:val="100"/>
      <w:sz w:val="28"/>
      <w:szCs w:val="28"/>
      <w:lang w:val="ru-RU" w:bidi="ru-RU"/>
    </w:rPr>
  </w:style>
  <w:style w:type="character" w:styleId="WW8Num11z1">
    <w:name w:val="WW8Num11z1"/>
    <w:qFormat/>
    <w:rPr>
      <w:lang w:val="ru-RU" w:bidi="ru-RU"/>
    </w:rPr>
  </w:style>
  <w:style w:type="character" w:styleId="WW8Num12z0">
    <w:name w:val="WW8Num12z0"/>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2"/>
      <w:sz w:val="22"/>
      <w:szCs w:val="22"/>
      <w:u w:val="none"/>
      <w:vertAlign w:val="baseline"/>
      <w:lang w:val="uk-UA" w:bidi="uk-UA"/>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Style13">
    <w:name w:val="Основной шрифт абзаца"/>
    <w:qFormat/>
    <w:rPr/>
  </w:style>
  <w:style w:type="character" w:styleId="11">
    <w:name w:val="Заголовок 1 Знак"/>
    <w:qFormat/>
    <w:rPr>
      <w:sz w:val="24"/>
      <w:szCs w:val="24"/>
      <w:lang w:val="uk-UA" w:bidi="ar-SA"/>
    </w:rPr>
  </w:style>
  <w:style w:type="character" w:styleId="Style14">
    <w:name w:val="Название Знак"/>
    <w:qFormat/>
    <w:rPr>
      <w:sz w:val="34"/>
      <w:lang w:val="uk-UA" w:bidi="ar-SA"/>
    </w:rPr>
  </w:style>
  <w:style w:type="character" w:styleId="2">
    <w:name w:val="Основной текст 2 Знак"/>
    <w:qFormat/>
    <w:rPr>
      <w:sz w:val="26"/>
      <w:szCs w:val="26"/>
      <w:lang w:val="uk-UA" w:bidi="ar-SA"/>
    </w:rPr>
  </w:style>
  <w:style w:type="character" w:styleId="Appleconvertedspace">
    <w:name w:val="apple-converted-space"/>
    <w:basedOn w:val="Style13"/>
    <w:qFormat/>
    <w:rPr/>
  </w:style>
  <w:style w:type="character" w:styleId="HTML">
    <w:name w:val="Стандартный HTML Знак"/>
    <w:qFormat/>
    <w:rPr>
      <w:rFonts w:ascii="Courier New" w:hAnsi="Courier New" w:cs="Courier New"/>
      <w:lang w:val="ru-RU"/>
    </w:rPr>
  </w:style>
  <w:style w:type="character" w:styleId="7">
    <w:name w:val="Основной текст (7)_"/>
    <w:qFormat/>
    <w:rPr>
      <w:sz w:val="22"/>
      <w:highlight w:val="white"/>
    </w:rPr>
  </w:style>
  <w:style w:type="character" w:styleId="FontStyle13">
    <w:name w:val="Font Style13"/>
    <w:qFormat/>
    <w:rPr>
      <w:rFonts w:ascii="Times New Roman" w:hAnsi="Times New Roman" w:cs="Times New Roman"/>
      <w:sz w:val="24"/>
      <w:szCs w:val="24"/>
    </w:rPr>
  </w:style>
  <w:style w:type="character" w:styleId="Style15">
    <w:name w:val="Текст выноски Знак"/>
    <w:qFormat/>
    <w:rPr>
      <w:rFonts w:ascii="Tahoma" w:hAnsi="Tahoma" w:cs="Tahoma"/>
      <w:sz w:val="16"/>
      <w:szCs w:val="16"/>
      <w:lang w:val="ru-RU"/>
    </w:rPr>
  </w:style>
  <w:style w:type="character" w:styleId="Style16">
    <w:name w:val="Интернет-ссылка"/>
    <w:rPr>
      <w:color w:val="0000FF"/>
      <w:u w:val="single"/>
    </w:rPr>
  </w:style>
  <w:style w:type="character" w:styleId="Style17">
    <w:name w:val="Основной текст Знак"/>
    <w:qFormat/>
    <w:rPr>
      <w:rFonts w:ascii="Calibri" w:hAnsi="Calibri" w:cs="Calibri"/>
      <w:sz w:val="22"/>
      <w:szCs w:val="22"/>
      <w:lang w:val="ru-RU"/>
    </w:rPr>
  </w:style>
  <w:style w:type="character" w:styleId="Style18">
    <w:name w:val="Посещённая гиперссылка"/>
    <w:rPr>
      <w:color w:val="800080"/>
      <w:u w:val="single"/>
    </w:rPr>
  </w:style>
  <w:style w:type="character" w:styleId="ListLabel1">
    <w:name w:val="ListLabel 1"/>
    <w:qFormat/>
    <w:rPr>
      <w:sz w:val="26"/>
      <w:szCs w:val="26"/>
    </w:rPr>
  </w:style>
  <w:style w:type="character" w:styleId="ListLabel2">
    <w:name w:val="ListLabel 2"/>
    <w:qFormat/>
    <w:rPr>
      <w:rFonts w:ascii="Times New Roman" w:hAnsi="Times New Roman" w:cs="Times New Roman"/>
      <w:w w:val="99"/>
      <w:sz w:val="26"/>
      <w:szCs w:val="24"/>
      <w:lang w:val="ru-RU" w:bidi="ru-RU"/>
    </w:rPr>
  </w:style>
  <w:style w:type="character" w:styleId="ListLabel3">
    <w:name w:val="ListLabel 3"/>
    <w:qFormat/>
    <w:rPr>
      <w:rFonts w:eastAsia="Times New Roman" w:cs="Times New Roman"/>
      <w:spacing w:val="-30"/>
      <w:w w:val="100"/>
      <w:sz w:val="28"/>
      <w:szCs w:val="28"/>
      <w:lang w:val="ru-RU" w:bidi="ru-RU"/>
    </w:rPr>
  </w:style>
  <w:style w:type="character" w:styleId="ListLabel4">
    <w:name w:val="ListLabel 4"/>
    <w:qFormat/>
    <w:rPr>
      <w:sz w:val="26"/>
      <w:szCs w:val="26"/>
    </w:rPr>
  </w:style>
  <w:style w:type="character" w:styleId="ListLabel5">
    <w:name w:val="ListLabel 5"/>
    <w:qFormat/>
    <w:rPr>
      <w:rFonts w:ascii="Times New Roman" w:hAnsi="Times New Roman" w:cs="Times New Roman"/>
      <w:w w:val="99"/>
      <w:sz w:val="26"/>
      <w:szCs w:val="24"/>
      <w:lang w:val="ru-RU" w:bidi="ru-RU"/>
    </w:rPr>
  </w:style>
  <w:style w:type="character" w:styleId="ListLabel6">
    <w:name w:val="ListLabel 6"/>
    <w:qFormat/>
    <w:rPr>
      <w:rFonts w:eastAsia="Times New Roman" w:cs="Times New Roman"/>
      <w:spacing w:val="-30"/>
      <w:w w:val="100"/>
      <w:sz w:val="28"/>
      <w:szCs w:val="28"/>
      <w:lang w:val="ru-RU" w:bidi="ru-RU"/>
    </w:rPr>
  </w:style>
  <w:style w:type="character" w:styleId="ListLabel7">
    <w:name w:val="ListLabel 7"/>
    <w:qFormat/>
    <w:rPr>
      <w:sz w:val="26"/>
      <w:szCs w:val="26"/>
    </w:rPr>
  </w:style>
  <w:style w:type="character" w:styleId="ListLabel8">
    <w:name w:val="ListLabel 8"/>
    <w:qFormat/>
    <w:rPr>
      <w:rFonts w:ascii="Times New Roman" w:hAnsi="Times New Roman" w:cs="Times New Roman"/>
      <w:w w:val="99"/>
      <w:sz w:val="26"/>
      <w:szCs w:val="24"/>
      <w:lang w:val="ru-RU" w:bidi="ru-RU"/>
    </w:rPr>
  </w:style>
  <w:style w:type="character" w:styleId="ListLabel9">
    <w:name w:val="ListLabel 9"/>
    <w:qFormat/>
    <w:rPr>
      <w:rFonts w:eastAsia="Times New Roman" w:cs="Times New Roman"/>
      <w:spacing w:val="-30"/>
      <w:w w:val="100"/>
      <w:sz w:val="28"/>
      <w:szCs w:val="28"/>
      <w:lang w:val="ru-RU" w:bidi="ru-RU"/>
    </w:rPr>
  </w:style>
  <w:style w:type="character" w:styleId="ListLabel10">
    <w:name w:val="ListLabel 10"/>
    <w:qFormat/>
    <w:rPr>
      <w:sz w:val="26"/>
      <w:szCs w:val="26"/>
    </w:rPr>
  </w:style>
  <w:style w:type="character" w:styleId="ListLabel11">
    <w:name w:val="ListLabel 11"/>
    <w:qFormat/>
    <w:rPr>
      <w:rFonts w:ascii="Times New Roman" w:hAnsi="Times New Roman" w:cs="Times New Roman"/>
      <w:w w:val="99"/>
      <w:sz w:val="26"/>
      <w:szCs w:val="24"/>
      <w:lang w:val="ru-RU" w:bidi="ru-RU"/>
    </w:rPr>
  </w:style>
  <w:style w:type="character" w:styleId="ListLabel12">
    <w:name w:val="ListLabel 12"/>
    <w:qFormat/>
    <w:rPr>
      <w:rFonts w:eastAsia="Times New Roman" w:cs="Times New Roman"/>
      <w:spacing w:val="-30"/>
      <w:w w:val="100"/>
      <w:sz w:val="28"/>
      <w:szCs w:val="28"/>
      <w:lang w:val="ru-RU" w:bidi="ru-RU"/>
    </w:rPr>
  </w:style>
  <w:style w:type="character" w:styleId="ListLabel13">
    <w:name w:val="ListLabel 13"/>
    <w:qFormat/>
    <w:rPr>
      <w:sz w:val="26"/>
      <w:szCs w:val="26"/>
    </w:rPr>
  </w:style>
  <w:style w:type="character" w:styleId="ListLabel14">
    <w:name w:val="ListLabel 14"/>
    <w:qFormat/>
    <w:rPr>
      <w:rFonts w:ascii="Times New Roman" w:hAnsi="Times New Roman" w:cs="Times New Roman"/>
      <w:w w:val="99"/>
      <w:sz w:val="26"/>
      <w:szCs w:val="24"/>
      <w:lang w:val="ru-RU" w:bidi="ru-RU"/>
    </w:rPr>
  </w:style>
  <w:style w:type="character" w:styleId="ListLabel15">
    <w:name w:val="ListLabel 15"/>
    <w:qFormat/>
    <w:rPr>
      <w:rFonts w:eastAsia="Times New Roman" w:cs="Times New Roman"/>
      <w:spacing w:val="-30"/>
      <w:w w:val="100"/>
      <w:sz w:val="28"/>
      <w:szCs w:val="28"/>
      <w:lang w:val="ru-RU" w:bidi="ru-RU"/>
    </w:rPr>
  </w:style>
  <w:style w:type="character" w:styleId="ListLabel16">
    <w:name w:val="ListLabel 16"/>
    <w:qFormat/>
    <w:rPr>
      <w:sz w:val="26"/>
      <w:szCs w:val="26"/>
    </w:rPr>
  </w:style>
  <w:style w:type="character" w:styleId="ListLabel17">
    <w:name w:val="ListLabel 17"/>
    <w:qFormat/>
    <w:rPr>
      <w:rFonts w:ascii="Times New Roman" w:hAnsi="Times New Roman" w:cs="Times New Roman"/>
      <w:w w:val="99"/>
      <w:sz w:val="26"/>
      <w:szCs w:val="24"/>
      <w:lang w:val="ru-RU" w:bidi="ru-RU"/>
    </w:rPr>
  </w:style>
  <w:style w:type="character" w:styleId="ListLabel18">
    <w:name w:val="ListLabel 18"/>
    <w:qFormat/>
    <w:rPr>
      <w:rFonts w:eastAsia="Times New Roman" w:cs="Times New Roman"/>
      <w:spacing w:val="-30"/>
      <w:w w:val="100"/>
      <w:sz w:val="28"/>
      <w:szCs w:val="28"/>
      <w:lang w:val="ru-RU" w:bidi="ru-RU"/>
    </w:rPr>
  </w:style>
  <w:style w:type="character" w:styleId="ListLabel19">
    <w:name w:val="ListLabel 19"/>
    <w:qFormat/>
    <w:rPr>
      <w:sz w:val="26"/>
      <w:szCs w:val="26"/>
    </w:rPr>
  </w:style>
  <w:style w:type="character" w:styleId="ListLabel20">
    <w:name w:val="ListLabel 20"/>
    <w:qFormat/>
    <w:rPr>
      <w:rFonts w:ascii="Times New Roman" w:hAnsi="Times New Roman" w:cs="Times New Roman"/>
      <w:w w:val="99"/>
      <w:sz w:val="26"/>
      <w:szCs w:val="24"/>
      <w:lang w:val="ru-RU" w:bidi="ru-RU"/>
    </w:rPr>
  </w:style>
  <w:style w:type="character" w:styleId="ListLabel21">
    <w:name w:val="ListLabel 21"/>
    <w:qFormat/>
    <w:rPr>
      <w:rFonts w:eastAsia="Times New Roman" w:cs="Times New Roman"/>
      <w:spacing w:val="-30"/>
      <w:w w:val="100"/>
      <w:sz w:val="28"/>
      <w:szCs w:val="28"/>
      <w:lang w:val="ru-RU" w:bidi="ru-RU"/>
    </w:rPr>
  </w:style>
  <w:style w:type="character" w:styleId="ListLabel22">
    <w:name w:val="ListLabel 22"/>
    <w:qFormat/>
    <w:rPr>
      <w:sz w:val="26"/>
      <w:szCs w:val="26"/>
    </w:rPr>
  </w:style>
  <w:style w:type="character" w:styleId="ListLabel23">
    <w:name w:val="ListLabel 23"/>
    <w:qFormat/>
    <w:rPr>
      <w:rFonts w:ascii="Times New Roman" w:hAnsi="Times New Roman" w:cs="Times New Roman"/>
      <w:w w:val="99"/>
      <w:sz w:val="26"/>
      <w:szCs w:val="24"/>
      <w:lang w:val="ru-RU" w:bidi="ru-RU"/>
    </w:rPr>
  </w:style>
  <w:style w:type="character" w:styleId="ListLabel24">
    <w:name w:val="ListLabel 24"/>
    <w:qFormat/>
    <w:rPr>
      <w:rFonts w:eastAsia="Times New Roman" w:cs="Times New Roman"/>
      <w:spacing w:val="-30"/>
      <w:w w:val="100"/>
      <w:sz w:val="28"/>
      <w:szCs w:val="28"/>
      <w:lang w:val="ru-RU" w:bidi="ru-RU"/>
    </w:rPr>
  </w:style>
  <w:style w:type="character" w:styleId="Style19">
    <w:name w:val="Маркеры списка"/>
    <w:qFormat/>
    <w:rPr>
      <w:rFonts w:ascii="OpenSymbol" w:hAnsi="OpenSymbol" w:eastAsia="OpenSymbol" w:cs="OpenSymbol"/>
    </w:rPr>
  </w:style>
  <w:style w:type="character" w:styleId="Style20">
    <w:name w:val="Символ нумерации"/>
    <w:qFormat/>
    <w:rPr/>
  </w:style>
  <w:style w:type="character" w:styleId="ListLabel25">
    <w:name w:val="ListLabel 25"/>
    <w:qFormat/>
    <w:rPr>
      <w:sz w:val="26"/>
      <w:szCs w:val="26"/>
    </w:rPr>
  </w:style>
  <w:style w:type="character" w:styleId="ListLabel26">
    <w:name w:val="ListLabel 26"/>
    <w:qFormat/>
    <w:rPr>
      <w:rFonts w:ascii="Times New Roman" w:hAnsi="Times New Roman" w:cs="Times New Roman"/>
      <w:w w:val="99"/>
      <w:sz w:val="26"/>
      <w:szCs w:val="24"/>
      <w:lang w:val="ru-RU" w:bidi="ru-RU"/>
    </w:rPr>
  </w:style>
  <w:style w:type="character" w:styleId="ListLabel27">
    <w:name w:val="ListLabel 27"/>
    <w:qFormat/>
    <w:rPr>
      <w:rFonts w:eastAsia="Times New Roman" w:cs="Times New Roman"/>
      <w:spacing w:val="-30"/>
      <w:w w:val="100"/>
      <w:sz w:val="28"/>
      <w:szCs w:val="28"/>
      <w:lang w:val="ru-RU" w:bidi="ru-RU"/>
    </w:rPr>
  </w:style>
  <w:style w:type="character" w:styleId="ListLabel28">
    <w:name w:val="ListLabel 28"/>
    <w:qFormat/>
    <w:rPr>
      <w:sz w:val="26"/>
      <w:szCs w:val="26"/>
    </w:rPr>
  </w:style>
  <w:style w:type="character" w:styleId="ListLabel29">
    <w:name w:val="ListLabel 29"/>
    <w:qFormat/>
    <w:rPr>
      <w:rFonts w:ascii="Times New Roman" w:hAnsi="Times New Roman" w:cs="Times New Roman"/>
      <w:w w:val="99"/>
      <w:sz w:val="26"/>
      <w:szCs w:val="24"/>
      <w:lang w:val="ru-RU" w:bidi="ru-RU"/>
    </w:rPr>
  </w:style>
  <w:style w:type="character" w:styleId="ListLabel30">
    <w:name w:val="ListLabel 30"/>
    <w:qFormat/>
    <w:rPr>
      <w:rFonts w:eastAsia="Times New Roman" w:cs="Times New Roman"/>
      <w:spacing w:val="-30"/>
      <w:w w:val="100"/>
      <w:sz w:val="28"/>
      <w:szCs w:val="28"/>
      <w:lang w:val="ru-RU" w:bidi="ru-RU"/>
    </w:rPr>
  </w:style>
  <w:style w:type="character" w:styleId="ListLabel31">
    <w:name w:val="ListLabel 31"/>
    <w:qFormat/>
    <w:rPr>
      <w:sz w:val="26"/>
      <w:szCs w:val="26"/>
    </w:rPr>
  </w:style>
  <w:style w:type="character" w:styleId="ListLabel32">
    <w:name w:val="ListLabel 32"/>
    <w:qFormat/>
    <w:rPr>
      <w:rFonts w:ascii="Times New Roman" w:hAnsi="Times New Roman" w:cs="Times New Roman"/>
      <w:w w:val="99"/>
      <w:sz w:val="26"/>
      <w:szCs w:val="24"/>
      <w:lang w:val="ru-RU" w:bidi="ru-RU"/>
    </w:rPr>
  </w:style>
  <w:style w:type="character" w:styleId="ListLabel33">
    <w:name w:val="ListLabel 33"/>
    <w:qFormat/>
    <w:rPr>
      <w:rFonts w:eastAsia="Times New Roman" w:cs="Times New Roman"/>
      <w:spacing w:val="-30"/>
      <w:w w:val="100"/>
      <w:sz w:val="28"/>
      <w:szCs w:val="28"/>
      <w:lang w:val="ru-RU" w:bidi="ru-RU"/>
    </w:rPr>
  </w:style>
  <w:style w:type="character" w:styleId="ListLabel34">
    <w:name w:val="ListLabel 34"/>
    <w:qFormat/>
    <w:rPr>
      <w:sz w:val="26"/>
      <w:szCs w:val="26"/>
    </w:rPr>
  </w:style>
  <w:style w:type="character" w:styleId="ListLabel35">
    <w:name w:val="ListLabel 35"/>
    <w:qFormat/>
    <w:rPr>
      <w:rFonts w:ascii="Times New Roman" w:hAnsi="Times New Roman" w:cs="Times New Roman"/>
      <w:w w:val="99"/>
      <w:sz w:val="26"/>
      <w:szCs w:val="24"/>
      <w:lang w:val="ru-RU" w:bidi="ru-RU"/>
    </w:rPr>
  </w:style>
  <w:style w:type="character" w:styleId="ListLabel36">
    <w:name w:val="ListLabel 36"/>
    <w:qFormat/>
    <w:rPr>
      <w:rFonts w:ascii="Times New Roman" w:hAnsi="Times New Roman" w:eastAsia="Times New Roman" w:cs="Times New Roman"/>
      <w:spacing w:val="-30"/>
      <w:w w:val="100"/>
      <w:sz w:val="26"/>
      <w:szCs w:val="28"/>
      <w:lang w:val="ru-RU" w:bidi="ru-RU"/>
    </w:rPr>
  </w:style>
  <w:style w:type="character" w:styleId="ListLabel37">
    <w:name w:val="ListLabel 37"/>
    <w:qFormat/>
    <w:rPr>
      <w:sz w:val="26"/>
      <w:szCs w:val="26"/>
    </w:rPr>
  </w:style>
  <w:style w:type="character" w:styleId="ListLabel38">
    <w:name w:val="ListLabel 38"/>
    <w:qFormat/>
    <w:rPr>
      <w:rFonts w:ascii="Times New Roman" w:hAnsi="Times New Roman" w:cs="Times New Roman"/>
      <w:w w:val="99"/>
      <w:sz w:val="26"/>
      <w:szCs w:val="24"/>
      <w:lang w:val="ru-RU" w:bidi="ru-RU"/>
    </w:rPr>
  </w:style>
  <w:style w:type="character" w:styleId="ListLabel39">
    <w:name w:val="ListLabel 39"/>
    <w:qFormat/>
    <w:rPr>
      <w:rFonts w:ascii="Times New Roman" w:hAnsi="Times New Roman" w:eastAsia="Times New Roman" w:cs="Times New Roman"/>
      <w:spacing w:val="-30"/>
      <w:w w:val="100"/>
      <w:sz w:val="26"/>
      <w:szCs w:val="28"/>
      <w:lang w:val="ru-RU" w:bidi="ru-RU"/>
    </w:rPr>
  </w:style>
  <w:style w:type="character" w:styleId="ListLabel40">
    <w:name w:val="ListLabel 40"/>
    <w:qFormat/>
    <w:rPr>
      <w:sz w:val="26"/>
      <w:szCs w:val="26"/>
    </w:rPr>
  </w:style>
  <w:style w:type="character" w:styleId="ListLabel41">
    <w:name w:val="ListLabel 41"/>
    <w:qFormat/>
    <w:rPr>
      <w:rFonts w:ascii="Times New Roman" w:hAnsi="Times New Roman" w:cs="Times New Roman"/>
      <w:w w:val="99"/>
      <w:sz w:val="26"/>
      <w:szCs w:val="24"/>
      <w:lang w:val="ru-RU" w:bidi="ru-RU"/>
    </w:rPr>
  </w:style>
  <w:style w:type="character" w:styleId="ListLabel42">
    <w:name w:val="ListLabel 42"/>
    <w:qFormat/>
    <w:rPr>
      <w:rFonts w:ascii="Times New Roman" w:hAnsi="Times New Roman" w:eastAsia="Times New Roman" w:cs="Times New Roman"/>
      <w:spacing w:val="-30"/>
      <w:w w:val="100"/>
      <w:sz w:val="26"/>
      <w:szCs w:val="28"/>
      <w:lang w:val="ru-RU" w:bidi="ru-RU"/>
    </w:rPr>
  </w:style>
  <w:style w:type="character" w:styleId="ListLabel43">
    <w:name w:val="ListLabel 43"/>
    <w:qFormat/>
    <w:rPr>
      <w:sz w:val="26"/>
      <w:szCs w:val="26"/>
    </w:rPr>
  </w:style>
  <w:style w:type="character" w:styleId="ListLabel44">
    <w:name w:val="ListLabel 44"/>
    <w:qFormat/>
    <w:rPr>
      <w:rFonts w:ascii="Times New Roman" w:hAnsi="Times New Roman" w:cs="Times New Roman"/>
      <w:w w:val="99"/>
      <w:sz w:val="26"/>
      <w:szCs w:val="24"/>
      <w:lang w:val="ru-RU" w:bidi="ru-RU"/>
    </w:rPr>
  </w:style>
  <w:style w:type="character" w:styleId="ListLabel45">
    <w:name w:val="ListLabel 45"/>
    <w:qFormat/>
    <w:rPr>
      <w:rFonts w:ascii="Times New Roman" w:hAnsi="Times New Roman" w:eastAsia="Times New Roman" w:cs="Times New Roman"/>
      <w:spacing w:val="-30"/>
      <w:w w:val="100"/>
      <w:sz w:val="26"/>
      <w:szCs w:val="28"/>
      <w:lang w:val="ru-RU" w:bidi="ru-RU"/>
    </w:rPr>
  </w:style>
  <w:style w:type="character" w:styleId="ListLabel46">
    <w:name w:val="ListLabel 46"/>
    <w:qFormat/>
    <w:rPr>
      <w:sz w:val="26"/>
      <w:szCs w:val="26"/>
    </w:rPr>
  </w:style>
  <w:style w:type="character" w:styleId="ListLabel47">
    <w:name w:val="ListLabel 47"/>
    <w:qFormat/>
    <w:rPr>
      <w:rFonts w:ascii="Times New Roman" w:hAnsi="Times New Roman" w:cs="Times New Roman"/>
      <w:w w:val="99"/>
      <w:sz w:val="26"/>
      <w:szCs w:val="24"/>
      <w:lang w:val="ru-RU" w:bidi="ru-RU"/>
    </w:rPr>
  </w:style>
  <w:style w:type="character" w:styleId="ListLabel48">
    <w:name w:val="ListLabel 48"/>
    <w:qFormat/>
    <w:rPr>
      <w:rFonts w:ascii="Times New Roman" w:hAnsi="Times New Roman" w:eastAsia="Times New Roman" w:cs="Times New Roman"/>
      <w:spacing w:val="-30"/>
      <w:w w:val="100"/>
      <w:sz w:val="26"/>
      <w:szCs w:val="28"/>
      <w:lang w:val="ru-RU" w:bidi="ru-RU"/>
    </w:rPr>
  </w:style>
  <w:style w:type="character" w:styleId="ListLabel49">
    <w:name w:val="ListLabel 49"/>
    <w:qFormat/>
    <w:rPr>
      <w:sz w:val="26"/>
      <w:szCs w:val="26"/>
    </w:rPr>
  </w:style>
  <w:style w:type="character" w:styleId="ListLabel50">
    <w:name w:val="ListLabel 50"/>
    <w:qFormat/>
    <w:rPr>
      <w:rFonts w:ascii="Times New Roman" w:hAnsi="Times New Roman" w:cs="Times New Roman"/>
      <w:w w:val="99"/>
      <w:sz w:val="26"/>
      <w:szCs w:val="24"/>
      <w:lang w:val="ru-RU" w:bidi="ru-RU"/>
    </w:rPr>
  </w:style>
  <w:style w:type="character" w:styleId="ListLabel51">
    <w:name w:val="ListLabel 51"/>
    <w:qFormat/>
    <w:rPr>
      <w:rFonts w:ascii="Times New Roman" w:hAnsi="Times New Roman" w:eastAsia="Times New Roman" w:cs="Times New Roman"/>
      <w:spacing w:val="-30"/>
      <w:w w:val="100"/>
      <w:sz w:val="26"/>
      <w:szCs w:val="28"/>
      <w:lang w:val="ru-RU" w:bidi="ru-RU"/>
    </w:rPr>
  </w:style>
  <w:style w:type="character" w:styleId="ListLabel52">
    <w:name w:val="ListLabel 52"/>
    <w:qFormat/>
    <w:rPr>
      <w:sz w:val="26"/>
      <w:szCs w:val="26"/>
    </w:rPr>
  </w:style>
  <w:style w:type="character" w:styleId="ListLabel53">
    <w:name w:val="ListLabel 53"/>
    <w:qFormat/>
    <w:rPr>
      <w:rFonts w:ascii="Times New Roman" w:hAnsi="Times New Roman" w:cs="Times New Roman"/>
      <w:w w:val="99"/>
      <w:sz w:val="26"/>
      <w:szCs w:val="24"/>
      <w:lang w:val="ru-RU" w:bidi="ru-RU"/>
    </w:rPr>
  </w:style>
  <w:style w:type="character" w:styleId="ListLabel54">
    <w:name w:val="ListLabel 54"/>
    <w:qFormat/>
    <w:rPr>
      <w:rFonts w:ascii="Times New Roman" w:hAnsi="Times New Roman" w:eastAsia="Times New Roman" w:cs="Times New Roman"/>
      <w:spacing w:val="-30"/>
      <w:w w:val="100"/>
      <w:sz w:val="26"/>
      <w:szCs w:val="28"/>
      <w:lang w:val="ru-RU" w:bidi="ru-RU"/>
    </w:rPr>
  </w:style>
  <w:style w:type="character" w:styleId="ListLabel55">
    <w:name w:val="ListLabel 55"/>
    <w:qFormat/>
    <w:rPr>
      <w:sz w:val="26"/>
      <w:szCs w:val="26"/>
    </w:rPr>
  </w:style>
  <w:style w:type="character" w:styleId="ListLabel56">
    <w:name w:val="ListLabel 56"/>
    <w:qFormat/>
    <w:rPr>
      <w:rFonts w:ascii="Times New Roman" w:hAnsi="Times New Roman" w:cs="Times New Roman"/>
      <w:w w:val="99"/>
      <w:sz w:val="26"/>
      <w:szCs w:val="24"/>
      <w:lang w:val="ru-RU" w:bidi="ru-RU"/>
    </w:rPr>
  </w:style>
  <w:style w:type="character" w:styleId="ListLabel57">
    <w:name w:val="ListLabel 57"/>
    <w:qFormat/>
    <w:rPr>
      <w:rFonts w:ascii="Times New Roman" w:hAnsi="Times New Roman" w:eastAsia="Times New Roman" w:cs="Times New Roman"/>
      <w:spacing w:val="-30"/>
      <w:w w:val="100"/>
      <w:sz w:val="26"/>
      <w:szCs w:val="28"/>
      <w:lang w:val="ru-RU" w:bidi="ru-RU"/>
    </w:rPr>
  </w:style>
  <w:style w:type="character" w:styleId="ListLabel58">
    <w:name w:val="ListLabel 58"/>
    <w:qFormat/>
    <w:rPr>
      <w:sz w:val="26"/>
      <w:szCs w:val="26"/>
    </w:rPr>
  </w:style>
  <w:style w:type="character" w:styleId="ListLabel59">
    <w:name w:val="ListLabel 59"/>
    <w:qFormat/>
    <w:rPr>
      <w:rFonts w:ascii="Times New Roman" w:hAnsi="Times New Roman" w:cs="Times New Roman"/>
      <w:w w:val="99"/>
      <w:sz w:val="26"/>
      <w:szCs w:val="24"/>
      <w:lang w:val="ru-RU" w:bidi="ru-RU"/>
    </w:rPr>
  </w:style>
  <w:style w:type="character" w:styleId="ListLabel60">
    <w:name w:val="ListLabel 60"/>
    <w:qFormat/>
    <w:rPr>
      <w:rFonts w:ascii="Times New Roman" w:hAnsi="Times New Roman" w:eastAsia="Times New Roman" w:cs="Times New Roman"/>
      <w:spacing w:val="-30"/>
      <w:w w:val="100"/>
      <w:sz w:val="26"/>
      <w:szCs w:val="28"/>
      <w:lang w:val="ru-RU" w:bidi="ru-RU"/>
    </w:rPr>
  </w:style>
  <w:style w:type="character" w:styleId="ListLabel61">
    <w:name w:val="ListLabel 61"/>
    <w:qFormat/>
    <w:rPr>
      <w:sz w:val="26"/>
      <w:szCs w:val="26"/>
    </w:rPr>
  </w:style>
  <w:style w:type="character" w:styleId="ListLabel62">
    <w:name w:val="ListLabel 62"/>
    <w:qFormat/>
    <w:rPr>
      <w:rFonts w:ascii="Times New Roman" w:hAnsi="Times New Roman" w:cs="Times New Roman"/>
      <w:w w:val="99"/>
      <w:sz w:val="26"/>
      <w:szCs w:val="24"/>
      <w:lang w:val="ru-RU" w:bidi="ru-RU"/>
    </w:rPr>
  </w:style>
  <w:style w:type="character" w:styleId="ListLabel63">
    <w:name w:val="ListLabel 63"/>
    <w:qFormat/>
    <w:rPr>
      <w:rFonts w:ascii="Times New Roman" w:hAnsi="Times New Roman" w:eastAsia="Times New Roman" w:cs="Times New Roman"/>
      <w:spacing w:val="-30"/>
      <w:w w:val="100"/>
      <w:sz w:val="26"/>
      <w:szCs w:val="28"/>
      <w:lang w:val="ru-RU" w:bidi="ru-RU"/>
    </w:rPr>
  </w:style>
  <w:style w:type="paragraph" w:styleId="Style21">
    <w:name w:val="Заголовок"/>
    <w:basedOn w:val="Normal"/>
    <w:next w:val="Style22"/>
    <w:qFormat/>
    <w:pPr>
      <w:spacing w:lineRule="auto" w:line="240" w:before="0" w:after="0"/>
      <w:jc w:val="center"/>
    </w:pPr>
    <w:rPr>
      <w:rFonts w:ascii="Times New Roman" w:hAnsi="Times New Roman" w:cs="Times New Roman"/>
      <w:sz w:val="34"/>
      <w:szCs w:val="20"/>
      <w:lang w:val="uk-UA"/>
    </w:rPr>
  </w:style>
  <w:style w:type="paragraph" w:styleId="Style22">
    <w:name w:val="Body Text"/>
    <w:basedOn w:val="Normal"/>
    <w:pPr>
      <w:spacing w:before="0" w:after="120"/>
    </w:pPr>
    <w:rPr/>
  </w:style>
  <w:style w:type="paragraph" w:styleId="Style23">
    <w:name w:val="List"/>
    <w:basedOn w:val="Style22"/>
    <w:pPr/>
    <w:rPr>
      <w:rFonts w:cs="Mangal"/>
    </w:rPr>
  </w:style>
  <w:style w:type="paragraph" w:styleId="Style24">
    <w:name w:val="Caption"/>
    <w:basedOn w:val="Normal"/>
    <w:qFormat/>
    <w:pPr>
      <w:suppressLineNumbers/>
      <w:spacing w:before="120" w:after="120"/>
    </w:pPr>
    <w:rPr>
      <w:rFonts w:cs="Mangal"/>
      <w:i/>
      <w:iCs/>
      <w:sz w:val="24"/>
      <w:szCs w:val="24"/>
    </w:rPr>
  </w:style>
  <w:style w:type="paragraph" w:styleId="Style25">
    <w:name w:val="Указатель"/>
    <w:basedOn w:val="Normal"/>
    <w:qFormat/>
    <w:pPr>
      <w:suppressLineNumbers/>
    </w:pPr>
    <w:rPr>
      <w:rFonts w:cs="Mangal"/>
    </w:rPr>
  </w:style>
  <w:style w:type="paragraph" w:styleId="21">
    <w:name w:val="Основной текст 2"/>
    <w:basedOn w:val="Normal"/>
    <w:qFormat/>
    <w:pPr>
      <w:spacing w:lineRule="auto" w:line="240" w:before="0" w:after="0"/>
      <w:jc w:val="both"/>
    </w:pPr>
    <w:rPr>
      <w:rFonts w:ascii="Times New Roman" w:hAnsi="Times New Roman" w:cs="Times New Roman"/>
      <w:sz w:val="26"/>
      <w:szCs w:val="26"/>
      <w:lang w:val="uk-UA"/>
    </w:rPr>
  </w:style>
  <w:style w:type="paragraph" w:styleId="Style26">
    <w:name w:val="Абзац списка"/>
    <w:basedOn w:val="Normal"/>
    <w:qFormat/>
    <w:pPr>
      <w:spacing w:lineRule="auto" w:line="252" w:before="0" w:after="160"/>
      <w:ind w:left="720" w:right="0" w:hanging="0"/>
      <w:contextualSpacing/>
    </w:pPr>
    <w:rPr>
      <w:rFonts w:ascii="Calibri" w:hAnsi="Calibri" w:eastAsia="Calibri" w:cs="Times New Roman"/>
      <w:lang w:val="uk-UA"/>
    </w:rPr>
  </w:style>
  <w:style w:type="paragraph" w:styleId="HTML1">
    <w:name w:val="Стандартный HTML"/>
    <w:basedOn w:val="Normal"/>
    <w:qFormat/>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cs="Courier New"/>
      <w:sz w:val="20"/>
      <w:szCs w:val="20"/>
    </w:rPr>
  </w:style>
  <w:style w:type="paragraph" w:styleId="71">
    <w:name w:val="Основной текст (7)"/>
    <w:basedOn w:val="Normal"/>
    <w:qFormat/>
    <w:pPr>
      <w:widowControl w:val="false"/>
      <w:shd w:val="clear" w:fill="FFFFFF"/>
      <w:spacing w:lineRule="exact" w:line="252" w:before="300" w:after="0"/>
      <w:ind w:left="0" w:right="0" w:firstLine="400"/>
      <w:jc w:val="both"/>
    </w:pPr>
    <w:rPr>
      <w:rFonts w:ascii="Times New Roman" w:hAnsi="Times New Roman" w:cs="Times New Roman"/>
      <w:szCs w:val="20"/>
      <w:lang w:val="ru-RU"/>
    </w:rPr>
  </w:style>
  <w:style w:type="paragraph" w:styleId="Style27">
    <w:name w:val="Обычный (веб)"/>
    <w:basedOn w:val="Normal"/>
    <w:qFormat/>
    <w:pPr>
      <w:spacing w:lineRule="auto" w:line="240" w:before="280" w:after="280"/>
    </w:pPr>
    <w:rPr>
      <w:rFonts w:ascii="Times New Roman" w:hAnsi="Times New Roman" w:cs="Times New Roman"/>
      <w:sz w:val="24"/>
      <w:szCs w:val="24"/>
    </w:rPr>
  </w:style>
  <w:style w:type="paragraph" w:styleId="Style28">
    <w:name w:val="Текст выноски"/>
    <w:basedOn w:val="Normal"/>
    <w:qFormat/>
    <w:pPr>
      <w:spacing w:lineRule="auto" w:line="240" w:before="0" w:after="0"/>
    </w:pPr>
    <w:rPr>
      <w:rFonts w:ascii="Tahoma" w:hAnsi="Tahoma" w:cs="Tahoma"/>
      <w:sz w:val="16"/>
      <w:szCs w:val="16"/>
    </w:rPr>
  </w:style>
  <w:style w:type="paragraph" w:styleId="Style29">
    <w:name w:val="Содержимое таблицы"/>
    <w:basedOn w:val="Normal"/>
    <w:qFormat/>
    <w:pPr>
      <w:suppressLineNumbers/>
    </w:pPr>
    <w:rPr/>
  </w:style>
  <w:style w:type="paragraph" w:styleId="Style30">
    <w:name w:val="Заголовок таблицы"/>
    <w:basedOn w:val="Style29"/>
    <w:qFormat/>
    <w:pPr>
      <w:suppressLineNumbers/>
      <w:jc w:val="center"/>
    </w:pPr>
    <w:rPr>
      <w:b/>
      <w:bCs/>
    </w:rPr>
  </w:style>
  <w:style w:type="paragraph" w:styleId="Style31">
    <w:name w:val="Содержимое врезки"/>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0000_</Template>
  <TotalTime>246</TotalTime>
  <Application>LibreOffice/6.0.6.2$Windows_X86_64 LibreOffice_project/0c292870b25a325b5ed35f6b45599d2ea4458e77</Application>
  <Pages>11</Pages>
  <Words>1679</Words>
  <Characters>10617</Characters>
  <CharactersWithSpaces>12661</CharactersWithSpaces>
  <Paragraphs>707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2019-01-26T20:58:00Z</dcterms:created>
  <dc:creator>Max</dc:creator>
  <dc:description/>
  <dc:language>ru-RU</dc:language>
  <cp:lastModifiedBy/>
  <cp:lastPrinted>2024-01-25T11:18:49Z</cp:lastPrinted>
  <dcterms:modified xsi:type="dcterms:W3CDTF">2024-01-25T11:20:31Z</dcterms:modified>
  <cp:revision>28</cp:revision>
  <dc:subject/>
  <dc:title/>
</cp:coreProperties>
</file>