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8DBFBD" w:rsidR="00092067" w:rsidRPr="00B24B53" w:rsidRDefault="00B24B53" w:rsidP="00B24B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24B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24B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B2B045" w:rsidR="00092067" w:rsidRDefault="006B3F15" w:rsidP="00B24B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24B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7692893A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ru-RU" w:eastAsia="uk-UA"/>
        </w:rPr>
      </w:pPr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Про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верифiкацiю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</w:t>
      </w:r>
    </w:p>
    <w:p w14:paraId="6EA75D9E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про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рекламнi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засоби</w:t>
      </w:r>
    </w:p>
    <w:p w14:paraId="25BF77CD" w14:textId="77777777" w:rsidR="00BC3646" w:rsidRPr="00BC3646" w:rsidRDefault="00BC3646" w:rsidP="00BC364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мiської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геоiнформацiйної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</w:p>
    <w:p w14:paraId="3D63C1A0" w14:textId="77777777" w:rsidR="00BC3646" w:rsidRPr="00BC3646" w:rsidRDefault="00BC3646" w:rsidP="00BC364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системи</w:t>
      </w:r>
    </w:p>
    <w:p w14:paraId="438C49BE" w14:textId="3CCDEBE8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14:paraId="77F5DE87" w14:textId="77777777" w:rsidR="00BC3646" w:rsidRPr="00BC3646" w:rsidRDefault="00BC3646" w:rsidP="00BC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Керуючись частиною 4 статті 42 Законом України «Про </w:t>
      </w:r>
      <w:proofErr w:type="spellStart"/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мiсцеве</w:t>
      </w:r>
      <w:proofErr w:type="spellEnd"/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самоврядування в </w:t>
      </w:r>
      <w:proofErr w:type="spellStart"/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Українi</w:t>
      </w:r>
      <w:proofErr w:type="spellEnd"/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враховуючи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виконавчого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Червоноградської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ради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вiд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24.10.2019 року № 207 «Про затвердження Порядку формування та ведення реєстру (банку даних)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рекламних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засобiв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заяв,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дозволiв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договорiв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м.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Червоноградi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»</w:t>
      </w:r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 метою</w:t>
      </w:r>
      <w:r w:rsidRPr="00BC3646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забезпечення актуалізації та використання даних</w:t>
      </w:r>
      <w:r w:rsidRPr="00BC36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3646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BC36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3646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BC3646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BC3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E66DF73" w14:textId="77777777" w:rsidR="00BC3646" w:rsidRPr="00BC3646" w:rsidRDefault="00BC3646" w:rsidP="00BC36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B9702BD" w14:textId="73718368" w:rsidR="00BC3646" w:rsidRPr="00BC3646" w:rsidRDefault="00BC3646" w:rsidP="00BC3646">
      <w:pPr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Управлiнню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мiстобудування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архiтектури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Шептицької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ради (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Гурський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О.Р.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) до 15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травня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2025 р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оку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провести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верифiкацiю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 (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перевiрку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точностi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достовiрностi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) реєстру (банку даних)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рекламних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засобiв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заяв,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дозволiв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про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пiдсистемi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геоiнформацiйної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системи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 планом-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графiком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який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вiдображений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додатку 2, 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перелiком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 що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пiдлягають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додатку 1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.</w:t>
      </w:r>
    </w:p>
    <w:p w14:paraId="2B50DCD6" w14:textId="58656B03" w:rsidR="00BC3646" w:rsidRPr="00BC3646" w:rsidRDefault="00BC3646" w:rsidP="00BC3646">
      <w:pPr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КП «Комунальник»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КП “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uk-UA"/>
        </w:rPr>
        <w:t>Ж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итлокомунсервiс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»</w:t>
      </w:r>
      <w:r w:rsidR="0093374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ШМР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, КП «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В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одоканал»</w:t>
      </w:r>
      <w:r w:rsidR="0093374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ШМР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КП «Червоноградтеплокомуненерго» до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15 травня 2025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оку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провести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верифiкацiю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 (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перевiрку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точностi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достовiрностi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) реєстру (банку даних)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договорiв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пiдсистемi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геоiнформацiйної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системи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 планом-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графiком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який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вiдображений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одатку 2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перелiком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що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пiдлягають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додат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ку 1.</w:t>
      </w:r>
    </w:p>
    <w:p w14:paraId="5834BEDB" w14:textId="65D30BFF" w:rsidR="00BC3646" w:rsidRPr="00BC3646" w:rsidRDefault="00BC3646" w:rsidP="00BC3646">
      <w:pPr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>
        <w:rPr>
          <w:rFonts w:ascii="Times New Roman" w:eastAsia="Arial" w:hAnsi="Times New Roman" w:cs="Times New Roman"/>
          <w:sz w:val="26"/>
          <w:szCs w:val="26"/>
          <w:lang w:eastAsia="uk-UA"/>
        </w:rPr>
        <w:t>Керівникам виконавчих органів та комунальних підприємств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Шептицької міської ради, зазначеним в пунктах 1,2 цього розпорядження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інформувати щотижня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р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адника міського голови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Шуварську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Катерину Валеріївну про стан виконання плану-графіку проведення верифікації даних.</w:t>
      </w:r>
    </w:p>
    <w:p w14:paraId="7A8AAB7A" w14:textId="77777777" w:rsidR="00BC3646" w:rsidRPr="00BC3646" w:rsidRDefault="00BC3646" w:rsidP="00BC3646">
      <w:pPr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Раднику міського голови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Шуварській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Катерині Валеріївні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iнформувати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щомiсяця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мiського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голову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Залівського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Андрія Івановича про стан виконання плану-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графiку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проведення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даних.</w:t>
      </w:r>
    </w:p>
    <w:p w14:paraId="34E151F2" w14:textId="77777777" w:rsidR="00BC3646" w:rsidRPr="00BC3646" w:rsidRDefault="00BC3646" w:rsidP="00BC3646">
      <w:pPr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Контроль за виконанням розпорядження залишаю за собою.</w:t>
      </w:r>
    </w:p>
    <w:p w14:paraId="431176AC" w14:textId="77777777" w:rsidR="00BC3646" w:rsidRPr="00BC3646" w:rsidRDefault="00BC3646" w:rsidP="00BC3646">
      <w:pPr>
        <w:tabs>
          <w:tab w:val="left" w:pos="567"/>
        </w:tabs>
        <w:spacing w:after="0" w:line="276" w:lineRule="auto"/>
        <w:ind w:left="720" w:firstLine="426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10028273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4B5320B6" w14:textId="6B1BBA6B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Мiський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голова                     </w:t>
      </w:r>
      <w:r w:rsidR="00B24B53">
        <w:rPr>
          <w:rFonts w:ascii="Times New Roman" w:eastAsia="Arial" w:hAnsi="Times New Roman" w:cs="Times New Roman"/>
          <w:sz w:val="26"/>
          <w:szCs w:val="26"/>
          <w:lang w:eastAsia="uk-UA"/>
        </w:rPr>
        <w:t>(підпис)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                     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ab/>
        <w:t>А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ндрій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ЗАЛIВСЬКИЙ</w:t>
      </w:r>
    </w:p>
    <w:p w14:paraId="4F1AC307" w14:textId="77777777" w:rsidR="00BC3646" w:rsidRPr="00BC3646" w:rsidRDefault="00BC3646" w:rsidP="00BC3646">
      <w:pPr>
        <w:spacing w:after="0" w:line="276" w:lineRule="auto"/>
        <w:ind w:left="8640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50B8C65F" w14:textId="77777777" w:rsidR="00BC3646" w:rsidRPr="00BC3646" w:rsidRDefault="00BC3646" w:rsidP="00BC3646">
      <w:pPr>
        <w:spacing w:after="0" w:line="276" w:lineRule="auto"/>
        <w:ind w:left="8640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5B9F1AC1" w14:textId="77777777" w:rsidR="00BC3646" w:rsidRPr="00BC3646" w:rsidRDefault="00BC3646" w:rsidP="00BC3646">
      <w:pPr>
        <w:spacing w:after="0" w:line="276" w:lineRule="auto"/>
        <w:ind w:left="8640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0245281C" w14:textId="2D316526" w:rsidR="00BC3646" w:rsidRPr="00312A4C" w:rsidRDefault="00BC3646" w:rsidP="00BC3646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Додаток 1 до розпорядження</w:t>
      </w:r>
    </w:p>
    <w:p w14:paraId="32206AF4" w14:textId="77777777" w:rsidR="00BC3646" w:rsidRDefault="00BC3646" w:rsidP="00BC3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14:paraId="4E02B482" w14:textId="2B644F18" w:rsidR="00BC3646" w:rsidRDefault="00BC3646" w:rsidP="00BC364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</w:t>
      </w:r>
      <w:r w:rsidR="00B24B53" w:rsidRPr="00B24B53">
        <w:rPr>
          <w:rFonts w:ascii="Times New Roman" w:hAnsi="Times New Roman" w:cs="Times New Roman"/>
          <w:sz w:val="26"/>
          <w:szCs w:val="26"/>
          <w:u w:val="single"/>
        </w:rPr>
        <w:t>01.04.2025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</w:t>
      </w:r>
      <w:r w:rsidR="00B24B53">
        <w:rPr>
          <w:rFonts w:ascii="Times New Roman" w:hAnsi="Times New Roman" w:cs="Times New Roman"/>
          <w:sz w:val="26"/>
          <w:szCs w:val="26"/>
          <w:u w:val="single"/>
        </w:rPr>
        <w:t>84-р</w:t>
      </w:r>
    </w:p>
    <w:p w14:paraId="7B31EE45" w14:textId="77777777" w:rsidR="001E67F5" w:rsidRPr="00BC3646" w:rsidRDefault="001E67F5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58D3B1A6" w14:textId="56053618" w:rsidR="00BC3646" w:rsidRPr="00BC3646" w:rsidRDefault="00BC3646" w:rsidP="00BC3646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Перелiк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</w:t>
      </w:r>
      <w:r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,</w:t>
      </w:r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що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пiдлягають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верифiкацiї</w:t>
      </w:r>
      <w:proofErr w:type="spellEnd"/>
    </w:p>
    <w:p w14:paraId="4C52FFA7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14:paraId="2726750C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1. 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Дозвiльнi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документи”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14:paraId="09651CD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Заява</w:t>
      </w:r>
    </w:p>
    <w:p w14:paraId="0710F30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Тип документу</w:t>
      </w:r>
    </w:p>
    <w:p w14:paraId="3048E602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Рекламний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засiб</w:t>
      </w:r>
      <w:proofErr w:type="spellEnd"/>
    </w:p>
    <w:p w14:paraId="77AC9B9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Номер документа</w:t>
      </w:r>
    </w:p>
    <w:p w14:paraId="33DABB6A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початку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</w:p>
    <w:p w14:paraId="6954A23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закiнчення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</w:p>
    <w:p w14:paraId="6EDF96C7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Мiсцезнаходження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рекламного засобу</w:t>
      </w:r>
    </w:p>
    <w:p w14:paraId="12A85418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Статус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дозвiльного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документа</w:t>
      </w:r>
    </w:p>
    <w:p w14:paraId="5EAEE3A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</w:p>
    <w:p w14:paraId="76613E35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Вiдповiдальний</w:t>
      </w:r>
      <w:proofErr w:type="spellEnd"/>
    </w:p>
    <w:p w14:paraId="0B9C79B5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14:paraId="0CF5D160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2.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реєстру “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засоби”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14:paraId="4D6E015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Тип реклами</w:t>
      </w:r>
    </w:p>
    <w:p w14:paraId="1035C8D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Тип рекламного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носiя</w:t>
      </w:r>
      <w:proofErr w:type="spellEnd"/>
    </w:p>
    <w:p w14:paraId="7A67757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Мiсцезнаходження</w:t>
      </w:r>
      <w:proofErr w:type="spellEnd"/>
    </w:p>
    <w:p w14:paraId="6E1326E1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Позицiя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на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цифровiй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топографiчнiй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основi</w:t>
      </w:r>
      <w:proofErr w:type="spellEnd"/>
    </w:p>
    <w:p w14:paraId="6FC78A49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Площа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рекламного засобу, м2</w:t>
      </w:r>
    </w:p>
    <w:p w14:paraId="5510F8CC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Договiр</w:t>
      </w:r>
      <w:proofErr w:type="spellEnd"/>
    </w:p>
    <w:p w14:paraId="072581B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</w:t>
      </w:r>
    </w:p>
    <w:p w14:paraId="44ED96D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14:paraId="69C024F2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3.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“Договори” в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14:paraId="0B56414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Дозвiльний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</w:t>
      </w:r>
    </w:p>
    <w:p w14:paraId="07129005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Кiлькiсть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рекламних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</w:p>
    <w:p w14:paraId="6E2BB9C6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пiдписання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14:paraId="1E82D658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Номер договору</w:t>
      </w:r>
    </w:p>
    <w:p w14:paraId="1C65B9B9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початку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14:paraId="0592BA30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закiнчення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14:paraId="68FD7DF4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Сума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щомiсячної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сплати</w:t>
      </w:r>
    </w:p>
    <w:p w14:paraId="5FD5F485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Стадiя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14:paraId="2E128E53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Агент</w:t>
      </w:r>
    </w:p>
    <w:p w14:paraId="18EAD13C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Контрагент</w:t>
      </w:r>
    </w:p>
    <w:p w14:paraId="03699E6D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05EF74D9" w14:textId="6A8B8C36" w:rsidR="00BC3646" w:rsidRPr="00BC3646" w:rsidRDefault="00BC3646" w:rsidP="00BC3646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Керуючий справами виконавчого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</w:t>
      </w:r>
      <w:r w:rsidR="00B24B53" w:rsidRPr="00B24B53">
        <w:rPr>
          <w:rFonts w:ascii="Times New Roman" w:eastAsia="Arial" w:hAnsi="Times New Roman" w:cs="Times New Roman"/>
          <w:sz w:val="26"/>
          <w:szCs w:val="26"/>
          <w:lang w:eastAsia="uk-UA"/>
        </w:rPr>
        <w:t>(підпис</w:t>
      </w:r>
      <w:r w:rsidR="00B24B53">
        <w:rPr>
          <w:rFonts w:ascii="Times New Roman" w:eastAsia="Arial" w:hAnsi="Times New Roman" w:cs="Times New Roman"/>
          <w:sz w:val="26"/>
          <w:szCs w:val="26"/>
          <w:lang w:eastAsia="uk-UA"/>
        </w:rPr>
        <w:t>)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Г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еоргій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ТИМЧИШИН</w:t>
      </w:r>
    </w:p>
    <w:p w14:paraId="5C91FB85" w14:textId="77777777" w:rsidR="001E67F5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76B0DB5" w14:textId="77777777" w:rsidR="001E67F5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0F9C447" w14:textId="77777777" w:rsidR="001E67F5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EBA45E" w14:textId="77777777" w:rsidR="001E67F5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C36686D" w14:textId="77777777" w:rsidR="001E67F5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</w:t>
      </w:r>
    </w:p>
    <w:p w14:paraId="7793FC23" w14:textId="04F66CF1" w:rsidR="001E67F5" w:rsidRPr="00312A4C" w:rsidRDefault="001E67F5" w:rsidP="001E67F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Додаток </w:t>
      </w:r>
      <w:r w:rsidR="001115F8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розпорядження</w:t>
      </w:r>
    </w:p>
    <w:p w14:paraId="033CBDCF" w14:textId="77777777" w:rsidR="001E67F5" w:rsidRDefault="001E67F5" w:rsidP="001E6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14:paraId="4C4A61AD" w14:textId="2CA0DB28" w:rsidR="001E67F5" w:rsidRPr="00181BD6" w:rsidRDefault="001E67F5" w:rsidP="001E67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</w:t>
      </w:r>
      <w:r w:rsidR="00B24B53" w:rsidRPr="00B24B53">
        <w:rPr>
          <w:rFonts w:ascii="Times New Roman" w:hAnsi="Times New Roman" w:cs="Times New Roman"/>
          <w:sz w:val="26"/>
          <w:szCs w:val="26"/>
          <w:u w:val="single"/>
        </w:rPr>
        <w:t>01.04.2025</w:t>
      </w:r>
      <w:r w:rsidR="00B24B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</w:t>
      </w:r>
      <w:r w:rsidR="00B24B53">
        <w:rPr>
          <w:rFonts w:ascii="Times New Roman" w:hAnsi="Times New Roman" w:cs="Times New Roman"/>
          <w:sz w:val="26"/>
          <w:szCs w:val="26"/>
          <w:u w:val="single"/>
        </w:rPr>
        <w:t>84-р</w:t>
      </w:r>
    </w:p>
    <w:p w14:paraId="00BF69A0" w14:textId="77777777" w:rsidR="00BC3646" w:rsidRPr="00BC3646" w:rsidRDefault="00BC3646" w:rsidP="00BC3646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4A43DD64" w14:textId="77777777" w:rsidR="00BC3646" w:rsidRPr="00BC3646" w:rsidRDefault="00BC3646" w:rsidP="00BC3646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28911CFF" w14:textId="77777777" w:rsidR="00BC3646" w:rsidRPr="00BC3646" w:rsidRDefault="00BC3646" w:rsidP="00BC364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План-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графiк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проведення </w:t>
      </w:r>
      <w:proofErr w:type="spellStart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верифiкацiї</w:t>
      </w:r>
      <w:proofErr w:type="spellEnd"/>
      <w:r w:rsidRPr="00BC3646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</w:t>
      </w:r>
    </w:p>
    <w:p w14:paraId="62123581" w14:textId="77777777" w:rsidR="00BC3646" w:rsidRPr="00BC3646" w:rsidRDefault="00BC3646" w:rsidP="00BC3646">
      <w:pPr>
        <w:spacing w:after="0" w:line="276" w:lineRule="auto"/>
        <w:jc w:val="center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6F9B9204" w14:textId="3C810AD1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1. 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Дозвiльнi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документи” до 15</w:t>
      </w:r>
      <w:r w:rsidR="001115F8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травня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2025 року</w:t>
      </w:r>
    </w:p>
    <w:p w14:paraId="3E3DA2D5" w14:textId="1D608A02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2. 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засоби” до 15</w:t>
      </w:r>
      <w:r w:rsidR="001115F8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травня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2025 року</w:t>
      </w:r>
    </w:p>
    <w:p w14:paraId="5D9C9720" w14:textId="0B77A9EA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3. 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“Договори”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 15</w:t>
      </w:r>
      <w:r w:rsidR="001115F8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травня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2025 року</w:t>
      </w:r>
    </w:p>
    <w:p w14:paraId="5B5E86FB" w14:textId="77777777" w:rsidR="00BC3646" w:rsidRPr="00BC3646" w:rsidRDefault="00BC3646" w:rsidP="00BC3646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6735"/>
        <w:gridCol w:w="2415"/>
      </w:tblGrid>
      <w:tr w:rsidR="00BC3646" w:rsidRPr="00BC3646" w14:paraId="527B447F" w14:textId="77777777" w:rsidTr="001E67F5">
        <w:trPr>
          <w:trHeight w:val="810"/>
        </w:trPr>
        <w:tc>
          <w:tcPr>
            <w:tcW w:w="345" w:type="dxa"/>
            <w:vAlign w:val="center"/>
          </w:tcPr>
          <w:p w14:paraId="546D3BA6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6735" w:type="dxa"/>
            <w:vAlign w:val="center"/>
          </w:tcPr>
          <w:p w14:paraId="7D9641CB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Найменування</w:t>
            </w:r>
          </w:p>
          <w:p w14:paraId="0866F792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балансоутримувача</w:t>
            </w:r>
          </w:p>
        </w:tc>
        <w:tc>
          <w:tcPr>
            <w:tcW w:w="2415" w:type="dxa"/>
            <w:vAlign w:val="center"/>
          </w:tcPr>
          <w:p w14:paraId="71344206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Термiн</w:t>
            </w:r>
            <w:proofErr w:type="spellEnd"/>
          </w:p>
          <w:p w14:paraId="7CD5E3E6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проведення</w:t>
            </w:r>
          </w:p>
          <w:p w14:paraId="3494FB59" w14:textId="77777777" w:rsidR="00BC3646" w:rsidRPr="00BC3646" w:rsidRDefault="00BC3646" w:rsidP="00BC364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верифiкацiї</w:t>
            </w:r>
            <w:proofErr w:type="spellEnd"/>
          </w:p>
        </w:tc>
      </w:tr>
      <w:tr w:rsidR="00BC3646" w:rsidRPr="00BC3646" w14:paraId="7E2C3641" w14:textId="77777777" w:rsidTr="001E67F5">
        <w:trPr>
          <w:trHeight w:val="50"/>
        </w:trPr>
        <w:tc>
          <w:tcPr>
            <w:tcW w:w="345" w:type="dxa"/>
            <w:vAlign w:val="center"/>
          </w:tcPr>
          <w:p w14:paraId="5DFF9AB2" w14:textId="77777777" w:rsidR="00BC3646" w:rsidRPr="00BC3646" w:rsidRDefault="00BC3646" w:rsidP="00BC364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6735" w:type="dxa"/>
            <w:vAlign w:val="center"/>
          </w:tcPr>
          <w:p w14:paraId="31DE8159" w14:textId="164445E3" w:rsidR="00BC3646" w:rsidRPr="00BC3646" w:rsidRDefault="001E67F5" w:rsidP="001E67F5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 “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Ж</w:t>
            </w:r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итлокомунсервiс</w:t>
            </w:r>
            <w:proofErr w:type="spellEnd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”</w:t>
            </w:r>
            <w:r w:rsidR="0093374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Шептицької міської ради</w:t>
            </w:r>
          </w:p>
        </w:tc>
        <w:tc>
          <w:tcPr>
            <w:tcW w:w="2415" w:type="dxa"/>
          </w:tcPr>
          <w:p w14:paraId="4014EF46" w14:textId="77777777" w:rsidR="00BC3646" w:rsidRPr="00BC3646" w:rsidRDefault="00BC3646" w:rsidP="00BC3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15.05.2025 </w:t>
            </w:r>
          </w:p>
        </w:tc>
      </w:tr>
      <w:tr w:rsidR="00BC3646" w:rsidRPr="00BC3646" w14:paraId="4B980E50" w14:textId="77777777" w:rsidTr="001E67F5">
        <w:trPr>
          <w:trHeight w:val="50"/>
        </w:trPr>
        <w:tc>
          <w:tcPr>
            <w:tcW w:w="345" w:type="dxa"/>
            <w:vAlign w:val="center"/>
          </w:tcPr>
          <w:p w14:paraId="012A560D" w14:textId="77777777" w:rsidR="00BC3646" w:rsidRPr="00BC3646" w:rsidRDefault="00BC3646" w:rsidP="00BC364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6735" w:type="dxa"/>
            <w:vAlign w:val="center"/>
          </w:tcPr>
          <w:p w14:paraId="5033DCB4" w14:textId="6F88CECD" w:rsidR="00BC3646" w:rsidRPr="00BC3646" w:rsidRDefault="001E67F5" w:rsidP="001E67F5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«Комунальник»</w:t>
            </w:r>
          </w:p>
        </w:tc>
        <w:tc>
          <w:tcPr>
            <w:tcW w:w="2415" w:type="dxa"/>
          </w:tcPr>
          <w:p w14:paraId="70A6D721" w14:textId="77777777" w:rsidR="00BC3646" w:rsidRPr="00BC3646" w:rsidRDefault="00BC3646" w:rsidP="00BC3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15.05.2025 </w:t>
            </w:r>
          </w:p>
        </w:tc>
      </w:tr>
      <w:tr w:rsidR="00BC3646" w:rsidRPr="00BC3646" w14:paraId="456B09A4" w14:textId="77777777" w:rsidTr="001E67F5">
        <w:trPr>
          <w:trHeight w:val="50"/>
        </w:trPr>
        <w:tc>
          <w:tcPr>
            <w:tcW w:w="345" w:type="dxa"/>
            <w:vAlign w:val="center"/>
          </w:tcPr>
          <w:p w14:paraId="236A00AF" w14:textId="77777777" w:rsidR="00BC3646" w:rsidRPr="00BC3646" w:rsidRDefault="00BC3646" w:rsidP="00BC364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6735" w:type="dxa"/>
            <w:vAlign w:val="center"/>
          </w:tcPr>
          <w:p w14:paraId="34A90973" w14:textId="5D14BDF4" w:rsidR="00BC3646" w:rsidRPr="00BC3646" w:rsidRDefault="001E67F5" w:rsidP="001E67F5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В</w:t>
            </w:r>
            <w:r w:rsidR="00BC3646"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одоканал»</w:t>
            </w:r>
            <w:r w:rsidR="0093374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Шептицької міської ради</w:t>
            </w:r>
          </w:p>
        </w:tc>
        <w:tc>
          <w:tcPr>
            <w:tcW w:w="2415" w:type="dxa"/>
          </w:tcPr>
          <w:p w14:paraId="53DC4C61" w14:textId="77777777" w:rsidR="00BC3646" w:rsidRPr="00BC3646" w:rsidRDefault="00BC3646" w:rsidP="00BC3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15.05.2025 </w:t>
            </w:r>
          </w:p>
        </w:tc>
      </w:tr>
      <w:tr w:rsidR="00BC3646" w:rsidRPr="00BC3646" w14:paraId="4C66390E" w14:textId="77777777" w:rsidTr="001E67F5">
        <w:trPr>
          <w:trHeight w:val="50"/>
        </w:trPr>
        <w:tc>
          <w:tcPr>
            <w:tcW w:w="345" w:type="dxa"/>
            <w:vAlign w:val="center"/>
          </w:tcPr>
          <w:p w14:paraId="365DC1B4" w14:textId="77777777" w:rsidR="00BC3646" w:rsidRPr="00BC3646" w:rsidRDefault="00BC3646" w:rsidP="00BC364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6735" w:type="dxa"/>
            <w:vAlign w:val="center"/>
          </w:tcPr>
          <w:p w14:paraId="45DCEA29" w14:textId="38B6589A" w:rsidR="00BC3646" w:rsidRPr="00BC3646" w:rsidRDefault="001E67F5" w:rsidP="001E67F5">
            <w:pPr>
              <w:spacing w:after="0" w:line="240" w:lineRule="auto"/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 xml:space="preserve"> </w:t>
            </w:r>
            <w:r w:rsidR="00BC3646" w:rsidRPr="00BC3646"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 xml:space="preserve">Комунальне </w:t>
            </w:r>
            <w:proofErr w:type="spellStart"/>
            <w:r w:rsidR="00BC3646" w:rsidRPr="00BC3646"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>пi</w:t>
            </w:r>
            <w:r w:rsidRPr="001E67F5"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>дприємство</w:t>
            </w:r>
            <w:proofErr w:type="spellEnd"/>
            <w:r w:rsidRPr="001E67F5"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 xml:space="preserve"> </w:t>
            </w:r>
            <w:r w:rsidR="00BC3646" w:rsidRPr="00BC3646">
              <w:rPr>
                <w:rFonts w:ascii="Times New Roman" w:eastAsia="Arial" w:hAnsi="Times New Roman" w:cs="Times New Roman"/>
                <w:sz w:val="25"/>
                <w:szCs w:val="25"/>
                <w:lang w:eastAsia="uk-UA"/>
              </w:rPr>
              <w:t>«Червоноградтеплокомуненерго»</w:t>
            </w:r>
          </w:p>
        </w:tc>
        <w:tc>
          <w:tcPr>
            <w:tcW w:w="2415" w:type="dxa"/>
          </w:tcPr>
          <w:p w14:paraId="47100395" w14:textId="77777777" w:rsidR="00BC3646" w:rsidRPr="00BC3646" w:rsidRDefault="00BC3646" w:rsidP="00BC3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BC3646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15.05.2025 </w:t>
            </w:r>
          </w:p>
        </w:tc>
      </w:tr>
    </w:tbl>
    <w:p w14:paraId="08A7A455" w14:textId="77777777" w:rsidR="00BC3646" w:rsidRPr="00BC3646" w:rsidRDefault="00BC3646" w:rsidP="00BC3646">
      <w:pPr>
        <w:widowControl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225806FB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26108435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62ACA17F" w14:textId="659C3025" w:rsidR="00BC3646" w:rsidRPr="00BC3646" w:rsidRDefault="00BC3646" w:rsidP="00BC3646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Керуючий справами виконавчого </w:t>
      </w:r>
      <w:proofErr w:type="spellStart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</w:t>
      </w:r>
      <w:r w:rsidR="00B24B53" w:rsidRPr="00B24B53">
        <w:rPr>
          <w:rFonts w:ascii="Times New Roman" w:eastAsia="Arial" w:hAnsi="Times New Roman" w:cs="Times New Roman"/>
          <w:sz w:val="26"/>
          <w:szCs w:val="26"/>
          <w:lang w:eastAsia="uk-UA"/>
        </w:rPr>
        <w:t>(підпис</w:t>
      </w:r>
      <w:r w:rsidR="00B24B53">
        <w:rPr>
          <w:rFonts w:ascii="Times New Roman" w:eastAsia="Arial" w:hAnsi="Times New Roman" w:cs="Times New Roman"/>
          <w:sz w:val="26"/>
          <w:szCs w:val="26"/>
          <w:lang w:eastAsia="uk-UA"/>
        </w:rPr>
        <w:t>)</w:t>
      </w:r>
      <w:bookmarkStart w:id="0" w:name="_GoBack"/>
      <w:bookmarkEnd w:id="0"/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 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Г</w:t>
      </w:r>
      <w:r w:rsidR="001E67F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еоргій  </w:t>
      </w:r>
      <w:r w:rsidRPr="00BC3646">
        <w:rPr>
          <w:rFonts w:ascii="Times New Roman" w:eastAsia="Arial" w:hAnsi="Times New Roman" w:cs="Times New Roman"/>
          <w:sz w:val="26"/>
          <w:szCs w:val="26"/>
          <w:lang w:eastAsia="uk-UA"/>
        </w:rPr>
        <w:t>ТИМЧИШИН</w:t>
      </w:r>
    </w:p>
    <w:p w14:paraId="13BC607A" w14:textId="77777777" w:rsidR="00BC3646" w:rsidRPr="00BC3646" w:rsidRDefault="00BC3646" w:rsidP="00BC3646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14:paraId="1141564E" w14:textId="77777777" w:rsidR="00F21BDB" w:rsidRPr="00BC3646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BC364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63E34"/>
    <w:multiLevelType w:val="hybridMultilevel"/>
    <w:tmpl w:val="EB84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15F8"/>
    <w:rsid w:val="001A6EE8"/>
    <w:rsid w:val="001E67F5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70D4C"/>
    <w:rsid w:val="007B518B"/>
    <w:rsid w:val="007F3E81"/>
    <w:rsid w:val="007F6C7B"/>
    <w:rsid w:val="00877261"/>
    <w:rsid w:val="00925C09"/>
    <w:rsid w:val="00933744"/>
    <w:rsid w:val="0094247C"/>
    <w:rsid w:val="009C4A93"/>
    <w:rsid w:val="00AC4769"/>
    <w:rsid w:val="00B06FF8"/>
    <w:rsid w:val="00B24B53"/>
    <w:rsid w:val="00B42FCD"/>
    <w:rsid w:val="00B447AD"/>
    <w:rsid w:val="00BC2108"/>
    <w:rsid w:val="00BC3646"/>
    <w:rsid w:val="00BF6E8E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E6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3FD7-FC4A-4CC5-BE5A-81683D24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2025-04-01T07:29:00Z</cp:lastPrinted>
  <dcterms:created xsi:type="dcterms:W3CDTF">2025-04-01T11:17:00Z</dcterms:created>
  <dcterms:modified xsi:type="dcterms:W3CDTF">2025-04-02T08:58:00Z</dcterms:modified>
</cp:coreProperties>
</file>