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72" w:rsidRDefault="00366272" w:rsidP="00366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</w:pPr>
      <w:bookmarkStart w:id="0" w:name="_GoBack"/>
      <w:bookmarkEnd w:id="0"/>
      <w:r w:rsidRPr="00366272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Законом України від 30 листопада 2021 року № 1914 «Про внесення змін до Податкового кодексу України та інших законодавчих актів України щодо забезпечення збалансованості бюджетних надходжень» для платників податків – фізичних осіб, у яких у власності та/або користуванні (оренді, суборенді, емфітевзисі, постійному користуванні) є земельні ділянки, віднесені до сільськогосподарських угідь, вв</w:t>
      </w:r>
      <w:r w:rsidR="009E0DE4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едено</w:t>
      </w:r>
      <w:r w:rsidRPr="00366272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 поняття мінімального податкового зобов’язання (далі – МПЗ).</w:t>
      </w:r>
    </w:p>
    <w:p w:rsidR="00366272" w:rsidRPr="009E0DE4" w:rsidRDefault="00366272" w:rsidP="009E0DE4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</w:pPr>
      <w:r w:rsidRPr="009E0DE4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Ці зміни стосуються як платників податків, так і органів місцевого самоврядування, адже його сплата впливатиме на дохідну частину місцевого бюджету.</w:t>
      </w:r>
    </w:p>
    <w:p w:rsidR="00A51BF0" w:rsidRPr="00A51BF0" w:rsidRDefault="00A51BF0" w:rsidP="00A51BF0">
      <w:pPr>
        <w:shd w:val="clear" w:color="auto" w:fill="FFFFFF"/>
        <w:spacing w:after="150" w:line="240" w:lineRule="auto"/>
        <w:ind w:firstLine="357"/>
        <w:jc w:val="both"/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</w:pPr>
      <w:r w:rsidRPr="0098610B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Мета введення МПЗ </w:t>
      </w:r>
      <w:r w:rsidRPr="00A51BF0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- вивести </w:t>
      </w:r>
      <w:r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землі с/г призначення</w:t>
      </w:r>
      <w:r w:rsidRPr="00A51BF0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 з тіньового обробітку,  зменшити втрати бюджету через ухилення від оподаткування шляхом детінізації аграрної діяльності, сприяти отриманню додаткових надходжень до місцевого бюджету.</w:t>
      </w:r>
    </w:p>
    <w:p w:rsidR="00366272" w:rsidRPr="00366272" w:rsidRDefault="00366272" w:rsidP="009E0DE4">
      <w:pPr>
        <w:shd w:val="clear" w:color="auto" w:fill="FFFFFF"/>
        <w:spacing w:after="0" w:line="240" w:lineRule="auto"/>
        <w:ind w:firstLine="357"/>
        <w:jc w:val="both"/>
        <w:textAlignment w:val="baseline"/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</w:pPr>
      <w:r w:rsidRPr="00366272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Відповідно до п. 64 розділу ХХ «Перехідні положення» Податкового кодексу України (далі – </w:t>
      </w:r>
      <w:r w:rsidR="009E0DE4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ПКУ</w:t>
      </w:r>
      <w:r w:rsidRPr="00366272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)</w:t>
      </w:r>
      <w:r w:rsidR="00867E15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 </w:t>
      </w:r>
      <w:r w:rsidR="00867E15" w:rsidRPr="00366272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мінімальне податкове зобов’язання</w:t>
      </w:r>
      <w:r w:rsidRPr="00366272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 </w:t>
      </w:r>
      <w:r w:rsidR="00867E15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вперше</w:t>
      </w:r>
      <w:r w:rsidRPr="00366272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 </w:t>
      </w:r>
      <w:r w:rsidRPr="00867E15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визначається</w:t>
      </w:r>
      <w:r w:rsidRPr="00366272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 </w:t>
      </w:r>
      <w:r w:rsidR="00867E15" w:rsidRPr="00867E15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за </w:t>
      </w:r>
      <w:r w:rsidRPr="00867E15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2022 рік</w:t>
      </w:r>
      <w:r w:rsidR="00867E15" w:rsidRPr="00867E15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 xml:space="preserve"> у 2023 році</w:t>
      </w:r>
      <w:r w:rsidR="00867E15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.</w:t>
      </w:r>
    </w:p>
    <w:p w:rsidR="00A51BF0" w:rsidRDefault="00A51BF0" w:rsidP="00A51BF0">
      <w:pPr>
        <w:pStyle w:val="a5"/>
        <w:shd w:val="clear" w:color="auto" w:fill="FFFFFF"/>
        <w:spacing w:after="450" w:line="240" w:lineRule="auto"/>
        <w:ind w:left="0" w:firstLine="360"/>
        <w:jc w:val="both"/>
        <w:textAlignment w:val="baseline"/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</w:pPr>
    </w:p>
    <w:p w:rsidR="0098610B" w:rsidRDefault="00A51BF0" w:rsidP="00A51BF0">
      <w:pPr>
        <w:pStyle w:val="a5"/>
        <w:shd w:val="clear" w:color="auto" w:fill="FFFFFF"/>
        <w:spacing w:after="450" w:line="240" w:lineRule="auto"/>
        <w:ind w:left="0" w:firstLine="360"/>
        <w:jc w:val="both"/>
        <w:textAlignment w:val="baseline"/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</w:pPr>
      <w:r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Поняття </w:t>
      </w:r>
      <w:r w:rsidRPr="00C66419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МПЗ</w:t>
      </w:r>
      <w:r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 </w:t>
      </w:r>
      <w:r w:rsidRPr="00C66419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визначено </w:t>
      </w:r>
      <w:proofErr w:type="spellStart"/>
      <w:r w:rsidRPr="00C66419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п.п</w:t>
      </w:r>
      <w:proofErr w:type="spellEnd"/>
      <w:r w:rsidRPr="00C66419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.</w:t>
      </w:r>
      <w:r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 </w:t>
      </w:r>
      <w:r w:rsidRPr="00C66419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14.1.114</w:t>
      </w:r>
      <w:r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 прим.</w:t>
      </w:r>
      <w:r w:rsidRPr="00C66419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2 </w:t>
      </w:r>
      <w:r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 ПКУ.</w:t>
      </w:r>
    </w:p>
    <w:p w:rsidR="00A51BF0" w:rsidRDefault="0050566C" w:rsidP="0098610B">
      <w:pPr>
        <w:pStyle w:val="a5"/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</w:pPr>
      <w:r w:rsidRPr="0098610B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МПЗ </w:t>
      </w:r>
      <w:r w:rsidRPr="00A51BF0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- </w:t>
      </w:r>
      <w:r w:rsidR="00A51BF0" w:rsidRPr="00C66419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це мінімальна величина податкового зобов’язання із сплати податків, зборів, платежів, контроль за справлянням яких покладено на контролюючі органи, пов’язаних з виробництвом та реалізацією власної сільськогосподарської продукції та/або з власністю та/або користуванням (орендою, суборендою, емфітевзисом, постійним користуванням) земельними ділянками, віднесеними до сільськогосподарських угідь, розрахована відповідно до </w:t>
      </w:r>
      <w:r w:rsidR="00C01046">
        <w:rPr>
          <w:rFonts w:ascii="Times New Roman" w:eastAsia="SimSun" w:hAnsi="Times New Roman" w:cs="Times New Roman"/>
          <w:kern w:val="0"/>
          <w:sz w:val="27"/>
          <w:szCs w:val="27"/>
          <w:lang w:val="en-US" w:eastAsia="zh-CN"/>
        </w:rPr>
        <w:t>ПКУ</w:t>
      </w:r>
      <w:r w:rsidR="00A51BF0" w:rsidRPr="00C66419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. Сума мінімальних податкових зобов’язань, визначених щодо кожної із земельних ділянок, право користування якими належить одній юридичній або фізичній особі, у тому числі фізичній особі - підприємцю, є загальним мінімальним податковим зобов’язанням.</w:t>
      </w:r>
    </w:p>
    <w:p w:rsidR="0098610B" w:rsidRDefault="0098610B" w:rsidP="0098610B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</w:pPr>
    </w:p>
    <w:p w:rsidR="0050566C" w:rsidRPr="0098610B" w:rsidRDefault="0050566C" w:rsidP="00593C8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</w:pPr>
      <w:r w:rsidRPr="0098610B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Платником МПЗ</w:t>
      </w:r>
      <w:r w:rsidRPr="0098610B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 є резидент, який володіє та/або користується (орендує (</w:t>
      </w:r>
      <w:proofErr w:type="spellStart"/>
      <w:r w:rsidRPr="0098610B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суборендує</w:t>
      </w:r>
      <w:proofErr w:type="spellEnd"/>
      <w:r w:rsidRPr="0098610B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), на умовах емфітевзису, постійно користується) земельними ділянками, віднесеними до сільськогосподарських угідь (пп. 162.1.1 прим. 1 п. 162.1 ст. 162 ПКУ).</w:t>
      </w:r>
    </w:p>
    <w:p w:rsidR="00593C85" w:rsidRDefault="00593C85" w:rsidP="00593C85">
      <w:pPr>
        <w:shd w:val="clear" w:color="auto" w:fill="FFFFFF"/>
        <w:spacing w:after="0" w:line="240" w:lineRule="auto"/>
        <w:jc w:val="both"/>
        <w:rPr>
          <w:rFonts w:ascii="e-Ukraine" w:eastAsia="Times New Roman" w:hAnsi="e-Ukraine" w:cs="Times New Roman"/>
          <w:b/>
          <w:bCs/>
          <w:color w:val="333333"/>
          <w:kern w:val="0"/>
          <w:sz w:val="23"/>
          <w:szCs w:val="23"/>
          <w:lang w:eastAsia="uk-UA"/>
        </w:rPr>
      </w:pPr>
    </w:p>
    <w:p w:rsidR="0050566C" w:rsidRPr="00867E15" w:rsidRDefault="0050566C" w:rsidP="00867E1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</w:pPr>
      <w:r w:rsidRPr="00867E15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МПЗ обчислюється контролюючим органом на підставі даних</w:t>
      </w:r>
      <w:r w:rsidRPr="00867E15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 Державного реєстру речових прав на нерухоме майно, Державного земельного кадастру та/або на підставі оригіналів чи належним чином засвідчених копій відповідних документів платника податків, зокрема документів, що підтверджують право власності/користування (пп. 170.14.3 ПКУ).</w:t>
      </w:r>
    </w:p>
    <w:p w:rsidR="005669EE" w:rsidRPr="0047343C" w:rsidRDefault="005669EE" w:rsidP="005669E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</w:pPr>
      <w:r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У</w:t>
      </w:r>
      <w:r w:rsidRPr="0047343C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 разі передачі земельних ділянок в оренду (суборенду), емфітевзис або інше користування (при оформленні таких взаємовідносин відповідно до чинного законодавства) МПЗ визначається для орендарів, користувачів на інших умовах таких земельних ділянок у порядку, визначеному </w:t>
      </w:r>
      <w:r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ПКУ</w:t>
      </w:r>
      <w:r w:rsidRPr="0047343C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.</w:t>
      </w:r>
    </w:p>
    <w:p w:rsidR="005669EE" w:rsidRPr="0047343C" w:rsidRDefault="005669EE" w:rsidP="005669E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</w:pPr>
      <w:r w:rsidRPr="0047343C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Тобто, для фізичних осіб, які відповідно до норм Цивільного кодексу України, Земельного кодексу України та Закону України від 06 жовтня 1998 року № 161 «Про оренду землі» оформили взаємовідносини щодо передачі сільськогосподарських угідь в оренду (суборенду), емфітевзис або інше </w:t>
      </w:r>
      <w:r w:rsidRPr="0047343C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lastRenderedPageBreak/>
        <w:t>користування, МПЗ контролюючим органом не визначається. У такому випадку МПЗ за такі землі сплачує орендар.</w:t>
      </w:r>
    </w:p>
    <w:p w:rsidR="00867E15" w:rsidRDefault="00867E15" w:rsidP="00867E15">
      <w:pPr>
        <w:shd w:val="clear" w:color="auto" w:fill="FFFFFF"/>
        <w:spacing w:after="0" w:line="240" w:lineRule="auto"/>
        <w:jc w:val="both"/>
        <w:rPr>
          <w:rFonts w:ascii="e-Ukraine" w:eastAsia="Times New Roman" w:hAnsi="e-Ukraine" w:cs="Times New Roman"/>
          <w:b/>
          <w:bCs/>
          <w:color w:val="333333"/>
          <w:kern w:val="0"/>
          <w:sz w:val="23"/>
          <w:szCs w:val="23"/>
          <w:lang w:eastAsia="uk-UA"/>
        </w:rPr>
      </w:pPr>
    </w:p>
    <w:p w:rsidR="0050566C" w:rsidRPr="00867E15" w:rsidRDefault="0050566C" w:rsidP="005669E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</w:pPr>
      <w:r w:rsidRPr="00867E15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Усі кошти, сплачені у межах МПЗ за користування землею сільськогосподарського призначення, надходитимуть до місцевих бюджетів за місцем розташування ділянки.</w:t>
      </w:r>
    </w:p>
    <w:p w:rsidR="00867E15" w:rsidRDefault="00867E15" w:rsidP="005669EE">
      <w:pPr>
        <w:shd w:val="clear" w:color="auto" w:fill="FFFFFF"/>
        <w:spacing w:after="0" w:line="240" w:lineRule="auto"/>
        <w:jc w:val="both"/>
        <w:rPr>
          <w:rFonts w:ascii="e-Ukraine" w:eastAsia="Times New Roman" w:hAnsi="e-Ukraine" w:cs="Times New Roman"/>
          <w:color w:val="333333"/>
          <w:kern w:val="0"/>
          <w:sz w:val="23"/>
          <w:szCs w:val="23"/>
          <w:lang w:eastAsia="uk-UA"/>
        </w:rPr>
      </w:pPr>
    </w:p>
    <w:p w:rsidR="005669EE" w:rsidRDefault="005669EE" w:rsidP="005669EE">
      <w:pPr>
        <w:shd w:val="clear" w:color="auto" w:fill="FFFFFF"/>
        <w:spacing w:after="0" w:line="240" w:lineRule="auto"/>
        <w:ind w:firstLine="357"/>
        <w:jc w:val="both"/>
        <w:rPr>
          <w:rFonts w:eastAsia="SimSun"/>
          <w:kern w:val="0"/>
          <w:sz w:val="27"/>
          <w:szCs w:val="27"/>
          <w:lang w:eastAsia="zh-CN"/>
        </w:rPr>
      </w:pPr>
      <w:r w:rsidRPr="005669EE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Розрахункова сума МПЗ визначається</w:t>
      </w:r>
      <w:r w:rsidRPr="005669EE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 за формулами, в залежності від наявної нормативно грошової оцінки відповідної земельної ділянки або нормативно грошової оцінки 1 гектара ріллі по Автономній Республіці Крим або по області з урахуванням коефіцієнта індексації, визначеного відповідно до порядку, встановленого </w:t>
      </w:r>
      <w:r w:rsidR="00607CB7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>ПКУ</w:t>
      </w:r>
      <w:r w:rsidRPr="005669EE">
        <w:rPr>
          <w:rFonts w:ascii="Times New Roman" w:eastAsia="SimSun" w:hAnsi="Times New Roman" w:cs="Times New Roman"/>
          <w:kern w:val="0"/>
          <w:sz w:val="27"/>
          <w:szCs w:val="27"/>
          <w:lang w:eastAsia="zh-CN"/>
        </w:rPr>
        <w:t xml:space="preserve"> для справляння плати за землю; коефіцієнту та кількості календарних місяців, протягом яких земельна ділянка перебуває у власності, оренді, користуванні на інших умовах (у тому числі на умовах емфітевзису) платника податків</w:t>
      </w:r>
      <w:r w:rsidRPr="005669EE">
        <w:rPr>
          <w:rFonts w:eastAsia="SimSun"/>
          <w:kern w:val="0"/>
          <w:sz w:val="27"/>
          <w:szCs w:val="27"/>
          <w:lang w:eastAsia="zh-CN"/>
        </w:rPr>
        <w:t>.</w:t>
      </w:r>
    </w:p>
    <w:p w:rsidR="005669EE" w:rsidRPr="00192F1C" w:rsidRDefault="005669EE" w:rsidP="00192F1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SimSun" w:hAnsi="Times New Roman" w:cs="Times New Roman"/>
          <w:i/>
          <w:kern w:val="0"/>
          <w:sz w:val="27"/>
          <w:szCs w:val="27"/>
          <w:lang w:eastAsia="zh-CN"/>
        </w:rPr>
      </w:pPr>
      <w:r w:rsidRPr="00192F1C">
        <w:rPr>
          <w:rFonts w:ascii="Times New Roman" w:eastAsia="SimSun" w:hAnsi="Times New Roman" w:cs="Times New Roman"/>
          <w:i/>
          <w:kern w:val="0"/>
          <w:sz w:val="27"/>
          <w:szCs w:val="27"/>
          <w:lang w:eastAsia="zh-CN"/>
        </w:rPr>
        <w:t>До бюджету сплачується лише позитивне значення різниці між сумою загального МПЗ та сумою сплачених протягом звітного року податків, зборів, платежів, пов’язаних з виробництвом та реалізацією власної сільськогосподарської продукції та/або з власністю та/або користуванням (орендою, суборендою, емфітевзисом, постійним користуванням) земельними ділянками, віднесеними до сільськогосподарських угідь.</w:t>
      </w:r>
    </w:p>
    <w:p w:rsidR="00192F1C" w:rsidRDefault="00192F1C" w:rsidP="00192F1C">
      <w:pPr>
        <w:shd w:val="clear" w:color="auto" w:fill="FFFFFF"/>
        <w:spacing w:after="0" w:line="240" w:lineRule="auto"/>
        <w:ind w:firstLine="357"/>
        <w:jc w:val="both"/>
        <w:rPr>
          <w:rFonts w:ascii="e-Ukraine" w:eastAsia="Times New Roman" w:hAnsi="e-Ukraine" w:cs="Times New Roman"/>
          <w:b/>
          <w:bCs/>
          <w:color w:val="333333"/>
          <w:kern w:val="0"/>
          <w:sz w:val="23"/>
          <w:szCs w:val="23"/>
          <w:lang w:eastAsia="uk-UA"/>
        </w:rPr>
      </w:pPr>
    </w:p>
    <w:p w:rsidR="00192F1C" w:rsidRPr="00192F1C" w:rsidRDefault="00192F1C" w:rsidP="00192F1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</w:pPr>
      <w:r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Д</w:t>
      </w:r>
      <w:r w:rsidRPr="00192F1C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о загальної суми сплачених протягом податкового (звітного) року податків, зборів, платежів для платника податку – фізичної особи включаються</w:t>
      </w:r>
      <w:r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:</w:t>
      </w:r>
    </w:p>
    <w:p w:rsidR="00192F1C" w:rsidRPr="00192F1C" w:rsidRDefault="00192F1C" w:rsidP="00192F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192F1C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податок на доходи фізичних осіб та військовий збір з доходів від продажу власної сільськогосподарської продукції;</w:t>
      </w:r>
    </w:p>
    <w:p w:rsidR="00192F1C" w:rsidRPr="00192F1C" w:rsidRDefault="00192F1C" w:rsidP="00192F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192F1C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земельний податок за земельні ділянки, віднесені до сільськогосподарських угідь.</w:t>
      </w:r>
    </w:p>
    <w:p w:rsidR="00DF21D2" w:rsidRPr="00DF21D2" w:rsidRDefault="00DF21D2" w:rsidP="00DF21D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DF21D2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Порядок розрахунку МПЗ визначено ст. 38</w:t>
      </w:r>
      <w:r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 xml:space="preserve"> прим.</w:t>
      </w:r>
      <w:r w:rsidRPr="00DF21D2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 xml:space="preserve">1 ПКУ. Формула розрахунку МПЗ </w:t>
      </w:r>
      <w:r w:rsidRPr="00DF21D2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залежить від того, проведена нормативна грошова оцінка земельної ділянки (паю) чи ні.</w:t>
      </w:r>
    </w:p>
    <w:p w:rsidR="00DF21D2" w:rsidRPr="00DF21D2" w:rsidRDefault="00DF21D2" w:rsidP="00DF21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DF21D2">
        <w:rPr>
          <w:rFonts w:ascii="Times New Roman" w:eastAsia="SimSun" w:hAnsi="Times New Roman" w:cs="Times New Roman"/>
          <w:b/>
          <w:kern w:val="0"/>
          <w:sz w:val="27"/>
          <w:szCs w:val="27"/>
          <w:lang w:eastAsia="zh-CN"/>
        </w:rPr>
        <w:t>Якщо нормативно грошова оцінка проведена</w:t>
      </w:r>
      <w:r w:rsidRPr="0050566C">
        <w:rPr>
          <w:rFonts w:ascii="e-Ukraine" w:eastAsia="Times New Roman" w:hAnsi="e-Ukraine" w:cs="Times New Roman"/>
          <w:color w:val="333333"/>
          <w:kern w:val="0"/>
          <w:sz w:val="23"/>
          <w:szCs w:val="23"/>
          <w:lang w:eastAsia="uk-UA"/>
        </w:rPr>
        <w:t xml:space="preserve">: </w:t>
      </w:r>
      <w:r w:rsidRPr="00DF21D2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МПЗ = </w:t>
      </w:r>
      <w:proofErr w:type="spellStart"/>
      <w:r w:rsidRPr="00DF21D2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НГОд</w:t>
      </w:r>
      <w:proofErr w:type="spellEnd"/>
      <w:r w:rsidRPr="00DF21D2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x К x М / 12.</w:t>
      </w:r>
    </w:p>
    <w:p w:rsidR="00DF21D2" w:rsidRPr="00DF21D2" w:rsidRDefault="00DF21D2" w:rsidP="00DF21D2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DF21D2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МПЗ – мінімальне податкове зобов’язання;</w:t>
      </w:r>
    </w:p>
    <w:p w:rsidR="00DF21D2" w:rsidRPr="00DF21D2" w:rsidRDefault="00DF21D2" w:rsidP="00DF21D2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proofErr w:type="spellStart"/>
      <w:r w:rsidRPr="00DF21D2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НГОд</w:t>
      </w:r>
      <w:proofErr w:type="spellEnd"/>
      <w:r w:rsidRPr="00DF21D2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– нормативна грошова оцінка відповідної земельної ділянки з урахуванням коефіцієнта індексації, визначеного відповідно до порядку, встановленого цим Кодексом для справляння плати за землю;</w:t>
      </w:r>
    </w:p>
    <w:p w:rsidR="00DF21D2" w:rsidRPr="00DF21D2" w:rsidRDefault="00DF21D2" w:rsidP="00DF21D2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DF21D2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К –</w:t>
      </w:r>
      <w:r w:rsidR="00EB5437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коефіцієнт</w:t>
      </w:r>
      <w:r w:rsidRPr="00DF21D2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;</w:t>
      </w:r>
    </w:p>
    <w:p w:rsidR="00DF21D2" w:rsidRPr="00DF21D2" w:rsidRDefault="00DF21D2" w:rsidP="00DF21D2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DF21D2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М – кількість календарних місяців, протягом яких земельна ділянка перебуває у власності, оренді, користуванні на інших умовах (в тому числі на умовах емфітевзису) платника податків.</w:t>
      </w:r>
    </w:p>
    <w:p w:rsidR="00EB5437" w:rsidRDefault="00EB5437" w:rsidP="00DF21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uk-UA"/>
        </w:rPr>
      </w:pPr>
    </w:p>
    <w:p w:rsidR="00EB5437" w:rsidRDefault="00EB5437" w:rsidP="00DF21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uk-UA"/>
        </w:rPr>
      </w:pPr>
    </w:p>
    <w:p w:rsidR="00DF21D2" w:rsidRPr="001177BF" w:rsidRDefault="00DF21D2" w:rsidP="00DF21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1177BF"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uk-UA"/>
        </w:rPr>
        <w:lastRenderedPageBreak/>
        <w:t>Якщо нормативно грошова оцінка не проведена:</w:t>
      </w:r>
      <w:r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 МПЗ = НГО x S x К x М / 12.</w:t>
      </w:r>
    </w:p>
    <w:p w:rsidR="00DF21D2" w:rsidRPr="001177BF" w:rsidRDefault="00DF21D2" w:rsidP="00DF21D2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МПЗ – мінімальне податкове зобов’язання;</w:t>
      </w:r>
    </w:p>
    <w:p w:rsidR="00DF21D2" w:rsidRPr="001177BF" w:rsidRDefault="00DF21D2" w:rsidP="00DF21D2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НГО – нормативна грошова оцінка 1 гектара ріллі по </w:t>
      </w:r>
      <w:proofErr w:type="spellStart"/>
      <w:r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по</w:t>
      </w:r>
      <w:proofErr w:type="spellEnd"/>
      <w:r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області з урахуванням коефіцієнта індексації, визначеного відповідно до порядку, встановленого цим Кодексом для справляння плати за землю;</w:t>
      </w:r>
    </w:p>
    <w:p w:rsidR="00DF21D2" w:rsidRPr="001177BF" w:rsidRDefault="00DF21D2" w:rsidP="00DF21D2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S – площа земельної ділянки, гектарах;</w:t>
      </w:r>
    </w:p>
    <w:p w:rsidR="00DF21D2" w:rsidRPr="001177BF" w:rsidRDefault="00DF21D2" w:rsidP="00DF21D2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К – коефіц</w:t>
      </w:r>
      <w:r w:rsidR="00EB5437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ієнт</w:t>
      </w:r>
      <w:r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;</w:t>
      </w:r>
    </w:p>
    <w:p w:rsidR="00DF21D2" w:rsidRPr="001177BF" w:rsidRDefault="00DF21D2" w:rsidP="00DF21D2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М – кількість календарних місяців, протягом яких земельна ділянка перебуває у власності, оренді, користуванні на інших умовах (в тому числі на умовах емфітевзису) платника податків.</w:t>
      </w:r>
    </w:p>
    <w:p w:rsidR="00DF21D2" w:rsidRPr="0050566C" w:rsidRDefault="00DF21D2" w:rsidP="0050566C">
      <w:pPr>
        <w:shd w:val="clear" w:color="auto" w:fill="FFFFFF"/>
        <w:spacing w:after="150" w:line="240" w:lineRule="auto"/>
        <w:jc w:val="both"/>
        <w:rPr>
          <w:rFonts w:ascii="e-Ukraine" w:eastAsia="Times New Roman" w:hAnsi="e-Ukraine" w:cs="Times New Roman"/>
          <w:color w:val="333333"/>
          <w:kern w:val="0"/>
          <w:sz w:val="23"/>
          <w:szCs w:val="23"/>
          <w:lang w:eastAsia="uk-UA"/>
        </w:rPr>
      </w:pPr>
    </w:p>
    <w:p w:rsidR="0050566C" w:rsidRPr="001177BF" w:rsidRDefault="0050566C" w:rsidP="00803CDA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1177BF"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uk-UA"/>
        </w:rPr>
        <w:t>Коефіцієнти МПЗ</w:t>
      </w:r>
    </w:p>
    <w:p w:rsidR="0050566C" w:rsidRPr="001177BF" w:rsidRDefault="0050566C" w:rsidP="005056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Особливості розрахунку МПЗ за 2022 та 2023 звітні роки визначені п. 67 підрозділу 10 розділу ХХ «Перехідні положення» ПКУ.</w:t>
      </w:r>
    </w:p>
    <w:p w:rsidR="0050566C" w:rsidRPr="001177BF" w:rsidRDefault="0050566C" w:rsidP="005056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Так, для розрахунку МПЗ за 2022 та 2023 податкові (звітні) роки коефіцієнт "К", визначений у пп. 38</w:t>
      </w:r>
      <w:r w:rsid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прим.</w:t>
      </w:r>
      <w:r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1.</w:t>
      </w:r>
      <w:r w:rsid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1</w:t>
      </w:r>
      <w:r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і </w:t>
      </w:r>
      <w:r w:rsidR="006108C7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пп</w:t>
      </w:r>
      <w:r w:rsidR="001177BF"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. 38</w:t>
      </w:r>
      <w:r w:rsid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прим.</w:t>
      </w:r>
      <w:r w:rsidR="001177BF"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1.</w:t>
      </w:r>
      <w:r w:rsidRPr="001177BF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2 ПКУ, застосовується із значенням 0,04, або 4% нормативно грошової оцінки.</w:t>
      </w:r>
    </w:p>
    <w:p w:rsidR="005066D4" w:rsidRDefault="005066D4" w:rsidP="00EB10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7"/>
          <w:szCs w:val="27"/>
          <w:lang w:eastAsia="uk-UA"/>
        </w:rPr>
      </w:pPr>
    </w:p>
    <w:p w:rsidR="00660336" w:rsidRPr="00660336" w:rsidRDefault="00660336" w:rsidP="00EB10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353A93">
        <w:rPr>
          <w:rFonts w:ascii="Times New Roman" w:eastAsia="Times New Roman" w:hAnsi="Times New Roman" w:cs="Times New Roman"/>
          <w:b/>
          <w:color w:val="333333"/>
          <w:kern w:val="0"/>
          <w:sz w:val="27"/>
          <w:szCs w:val="27"/>
          <w:lang w:eastAsia="uk-UA"/>
        </w:rPr>
        <w:t>Наприклад,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платник податків – фізична особа протягом 2022 року має у Львівській області у власності земельну ділянку, віднесену до сільськогосподарських угідь, площею 4,0 га, нормативна грошова оцінка якої не проведена. Земельна ділянка в оренду емфітевзис або інше користування не передавалась. За 2022 рік сплачено земельний податок у сумі 318,4 гривень. </w:t>
      </w:r>
    </w:p>
    <w:p w:rsidR="00660336" w:rsidRDefault="00660336" w:rsidP="00EB10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За умовами, визначеними у прикладі, за результатами 2022 року контролюючий орган сформує та направить платнику податків </w:t>
      </w:r>
      <w:r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(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до 01.07.2023</w:t>
      </w:r>
      <w:r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)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податкове повідомлення – рішення на суму різниці між сумою МПЗ та сумою сплачених протягом податкового (звітного) року податків: </w:t>
      </w:r>
    </w:p>
    <w:p w:rsidR="00660336" w:rsidRDefault="00660336" w:rsidP="00353A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(2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1</w:t>
      </w:r>
      <w:r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 492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х 4 х 0,04 х 12/12) – 318,4 = </w:t>
      </w:r>
      <w:r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3 438,72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– 318,4 = 3</w:t>
      </w:r>
      <w:r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 120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,</w:t>
      </w:r>
      <w:r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32 гривень.</w:t>
      </w:r>
    </w:p>
    <w:p w:rsidR="00353A93" w:rsidRDefault="00660336" w:rsidP="009A623B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Разом з тим, якщо протягом звітного року платник податку отримував доходи від реалізації сільгосппродукції у сумі </w:t>
      </w:r>
      <w:r w:rsidR="00353A93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9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0</w:t>
      </w:r>
      <w:r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 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000,0 грн., з яких 78</w:t>
      </w:r>
      <w:r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 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000 грн. не підлягали оподаткуванню відповідно до </w:t>
      </w:r>
      <w:proofErr w:type="spellStart"/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п.п</w:t>
      </w:r>
      <w:proofErr w:type="spellEnd"/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. 165.1.24 п. 165.1 ст. 165 ПКУ, а з різниці утримано податковим агентом податок у сумі </w:t>
      </w:r>
      <w:r w:rsidR="00353A93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2</w:t>
      </w:r>
      <w:r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 </w:t>
      </w:r>
      <w:r w:rsidR="00353A93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1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60,0 грн, то сума податку на доходи фізичних осіб, яку платник податків повинен сплатити до бюджету (позитивне значення різниці між сумою МПЗ та сумою сплачених протягом податкового (звітного) року податків), буде становити </w:t>
      </w:r>
      <w:r w:rsidR="00353A93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960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,</w:t>
      </w:r>
      <w:r w:rsidR="00353A93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32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грн.</w:t>
      </w:r>
      <w:r w:rsidR="00E71D82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:</w:t>
      </w:r>
    </w:p>
    <w:p w:rsidR="009A623B" w:rsidRPr="009A623B" w:rsidRDefault="009A623B" w:rsidP="009A623B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uk-UA"/>
        </w:rPr>
      </w:pPr>
    </w:p>
    <w:p w:rsidR="00660336" w:rsidRPr="00660336" w:rsidRDefault="00353A93" w:rsidP="009A623B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3 438,72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– 318,4</w:t>
      </w:r>
      <w:r w:rsidR="00660336"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2 1</w:t>
      </w:r>
      <w:r w:rsidRPr="0066033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60,0</w:t>
      </w:r>
      <w:r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=960,32 грн.</w:t>
      </w:r>
    </w:p>
    <w:p w:rsidR="009A623B" w:rsidRDefault="009A623B">
      <w:pPr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uk-UA"/>
        </w:rPr>
        <w:br w:type="page"/>
      </w:r>
    </w:p>
    <w:p w:rsidR="0050566C" w:rsidRPr="00EB1069" w:rsidRDefault="0050566C" w:rsidP="00EB10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EB1069"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uk-UA"/>
        </w:rPr>
        <w:lastRenderedPageBreak/>
        <w:t>Від сплати МПЗ звільняються власники або користувачі </w:t>
      </w:r>
      <w:r w:rsidRPr="00EB1069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(п.38</w:t>
      </w:r>
      <w:r w:rsidR="00EB1069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прим.</w:t>
      </w:r>
      <w:r w:rsidRPr="00EB1069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1.2 ст.38 ПКУ):</w:t>
      </w:r>
    </w:p>
    <w:p w:rsidR="0050566C" w:rsidRPr="00EB1069" w:rsidRDefault="0050566C" w:rsidP="005056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EB1069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земельних ділянок, що використовуються дачними та садівничими кооперативами;</w:t>
      </w:r>
    </w:p>
    <w:p w:rsidR="0050566C" w:rsidRPr="00EB1069" w:rsidRDefault="0050566C" w:rsidP="005056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EB1069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земель запасу;</w:t>
      </w:r>
    </w:p>
    <w:p w:rsidR="0050566C" w:rsidRPr="00EB1069" w:rsidRDefault="0050566C" w:rsidP="005056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EB1069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невитребуваних земельних часток (паїв);</w:t>
      </w:r>
    </w:p>
    <w:p w:rsidR="0050566C" w:rsidRPr="00EB1069" w:rsidRDefault="0050566C" w:rsidP="005056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EB1069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земельних ділянок, які розміщені у Чорнобильській зоні</w:t>
      </w:r>
    </w:p>
    <w:p w:rsidR="0050566C" w:rsidRDefault="0050566C" w:rsidP="005056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EB1069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земельних ділянок, віднесених до сільськогосподарських угідь, які належать фізичним особам на праві власності та/або на праві користування та станом на 1 січня 2022 року знаходилися у межах населених пунктів.</w:t>
      </w:r>
    </w:p>
    <w:p w:rsidR="00EB1069" w:rsidRDefault="00EB1069" w:rsidP="005056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EB1069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земельних ділянок, земельних часток (паїв), за які не нараховувалися та не сплачувалися плата за землю або єдиний податок четвертої групи, що перебувають у консервації, або забруднені вибухонебезпечними предметами, або щодо яких прийнято рішення про надання податкових пільг зі сплати місцевих податків та/або зборів на підставі заяв платників податків про визнання земельних ділянок непридатними для використання у зв'язку з потенційною загрозою їх забруднення вибухонебезпечними предметами.</w:t>
      </w:r>
    </w:p>
    <w:p w:rsidR="0050566C" w:rsidRPr="00E369C4" w:rsidRDefault="00EB1069" w:rsidP="00E369C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E369C4"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uk-UA"/>
        </w:rPr>
        <w:t>За</w:t>
      </w:r>
      <w:r w:rsidR="0050566C" w:rsidRPr="00E369C4"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uk-UA"/>
        </w:rPr>
        <w:t xml:space="preserve"> 2022</w:t>
      </w:r>
      <w:r w:rsidRPr="00E369C4"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uk-UA"/>
        </w:rPr>
        <w:t xml:space="preserve"> рік </w:t>
      </w:r>
      <w:r w:rsidR="0050566C" w:rsidRPr="00E369C4"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uk-UA"/>
        </w:rPr>
        <w:t>тимчасово діє звільнення від сплати МПЗ за ділянки, які розташовані на територіях:</w:t>
      </w:r>
    </w:p>
    <w:p w:rsidR="0050566C" w:rsidRPr="00EF7C5B" w:rsidRDefault="0050566C" w:rsidP="005056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EF7C5B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де ведуться</w:t>
      </w:r>
      <w:r w:rsidR="00803CDA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активні</w:t>
      </w:r>
      <w:r w:rsidRPr="00EF7C5B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бойові дії</w:t>
      </w:r>
      <w:r w:rsidR="00430F4D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**</w:t>
      </w:r>
    </w:p>
    <w:p w:rsidR="0050566C" w:rsidRPr="00EF7C5B" w:rsidRDefault="0050566C" w:rsidP="005056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EF7C5B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які тимчасово окуповані російсько</w:t>
      </w:r>
      <w:r w:rsidR="00272B55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ю</w:t>
      </w:r>
      <w:r w:rsidRPr="00EF7C5B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 федераці</w:t>
      </w:r>
      <w:r w:rsidR="00272B55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єю</w:t>
      </w:r>
      <w:r w:rsidR="00430F4D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**</w:t>
      </w:r>
    </w:p>
    <w:p w:rsidR="00415C5A" w:rsidRDefault="00415C5A" w:rsidP="00430F4D">
      <w:pPr>
        <w:spacing w:after="150" w:line="240" w:lineRule="auto"/>
        <w:ind w:left="1200"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7"/>
          <w:szCs w:val="27"/>
          <w:lang w:eastAsia="uk-UA"/>
        </w:rPr>
      </w:pPr>
    </w:p>
    <w:p w:rsidR="00430F4D" w:rsidRPr="00430F4D" w:rsidRDefault="00430F4D" w:rsidP="00430F4D">
      <w:pPr>
        <w:spacing w:after="150" w:line="240" w:lineRule="auto"/>
        <w:ind w:left="1200"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7"/>
          <w:szCs w:val="27"/>
          <w:lang w:eastAsia="uk-UA"/>
        </w:rPr>
      </w:pPr>
      <w:r w:rsidRPr="00430F4D">
        <w:rPr>
          <w:rFonts w:ascii="Times New Roman" w:eastAsia="Times New Roman" w:hAnsi="Times New Roman" w:cs="Times New Roman"/>
          <w:i/>
          <w:iCs/>
          <w:color w:val="333333"/>
          <w:kern w:val="0"/>
          <w:sz w:val="27"/>
          <w:szCs w:val="27"/>
          <w:lang w:eastAsia="uk-UA"/>
        </w:rPr>
        <w:t>До відома:</w:t>
      </w:r>
    </w:p>
    <w:p w:rsidR="00430F4D" w:rsidRPr="00430F4D" w:rsidRDefault="00430F4D" w:rsidP="00430F4D">
      <w:pPr>
        <w:spacing w:after="150" w:line="240" w:lineRule="auto"/>
        <w:ind w:left="1200"/>
        <w:jc w:val="both"/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uk-UA"/>
        </w:rPr>
      </w:pPr>
      <w:r w:rsidRPr="00430F4D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uk-UA"/>
        </w:rPr>
        <w:t>** </w:t>
      </w:r>
      <w:hyperlink r:id="rId5" w:anchor="Text" w:tgtFrame="_blank" w:history="1">
        <w:r w:rsidRPr="00430F4D">
          <w:rPr>
            <w:rFonts w:ascii="Times New Roman" w:eastAsia="Times New Roman" w:hAnsi="Times New Roman" w:cs="Times New Roman"/>
            <w:i/>
            <w:iCs/>
            <w:kern w:val="0"/>
            <w:sz w:val="27"/>
            <w:szCs w:val="27"/>
            <w:u w:val="single"/>
            <w:lang w:eastAsia="uk-UA"/>
          </w:rPr>
          <w:t>Постанова КМУ «Деякі питання формування переліку територій, на яких ведуться (велися) бойові дії або тимчасово окупованих Російською Федерацією»</w:t>
        </w:r>
      </w:hyperlink>
    </w:p>
    <w:p w:rsidR="00430F4D" w:rsidRPr="0050566C" w:rsidRDefault="00430F4D" w:rsidP="00430F4D">
      <w:pPr>
        <w:spacing w:line="240" w:lineRule="auto"/>
        <w:ind w:left="1200"/>
        <w:jc w:val="both"/>
        <w:rPr>
          <w:rFonts w:ascii="e-Ukraine" w:eastAsia="Times New Roman" w:hAnsi="e-Ukraine" w:cs="Times New Roman"/>
          <w:i/>
          <w:iCs/>
          <w:color w:val="333333"/>
          <w:kern w:val="0"/>
          <w:sz w:val="26"/>
          <w:szCs w:val="26"/>
          <w:lang w:eastAsia="uk-UA"/>
        </w:rPr>
      </w:pPr>
      <w:r w:rsidRPr="00430F4D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uk-UA"/>
        </w:rPr>
        <w:t>** </w:t>
      </w:r>
      <w:hyperlink r:id="rId6" w:anchor="n15" w:tgtFrame="_blank" w:history="1">
        <w:r w:rsidRPr="00430F4D">
          <w:rPr>
            <w:rFonts w:ascii="Times New Roman" w:eastAsia="Times New Roman" w:hAnsi="Times New Roman" w:cs="Times New Roman"/>
            <w:i/>
            <w:iCs/>
            <w:kern w:val="0"/>
            <w:sz w:val="27"/>
            <w:szCs w:val="27"/>
            <w:u w:val="single"/>
            <w:lang w:eastAsia="uk-UA"/>
          </w:rPr>
          <w:t xml:space="preserve">Наказ </w:t>
        </w:r>
        <w:proofErr w:type="spellStart"/>
        <w:r w:rsidRPr="00430F4D">
          <w:rPr>
            <w:rFonts w:ascii="Times New Roman" w:eastAsia="Times New Roman" w:hAnsi="Times New Roman" w:cs="Times New Roman"/>
            <w:i/>
            <w:iCs/>
            <w:kern w:val="0"/>
            <w:sz w:val="27"/>
            <w:szCs w:val="27"/>
            <w:u w:val="single"/>
            <w:lang w:eastAsia="uk-UA"/>
          </w:rPr>
          <w:t>Мінінтеграції</w:t>
        </w:r>
        <w:proofErr w:type="spellEnd"/>
        <w:r w:rsidRPr="00430F4D">
          <w:rPr>
            <w:rFonts w:ascii="Times New Roman" w:eastAsia="Times New Roman" w:hAnsi="Times New Roman" w:cs="Times New Roman"/>
            <w:i/>
            <w:iCs/>
            <w:kern w:val="0"/>
            <w:sz w:val="27"/>
            <w:szCs w:val="27"/>
            <w:u w:val="single"/>
            <w:lang w:eastAsia="uk-UA"/>
          </w:rPr>
          <w:t>  «Про затвердження Переліку територій, на яких ведуться (велися) бойові дії або тимчасово окупованих Російською Федерацією».</w:t>
        </w:r>
      </w:hyperlink>
    </w:p>
    <w:p w:rsidR="00430F4D" w:rsidRDefault="00430F4D" w:rsidP="00781F19">
      <w:pPr>
        <w:pStyle w:val="Bodytext21"/>
        <w:shd w:val="clear" w:color="auto" w:fill="auto"/>
        <w:spacing w:before="0" w:line="240" w:lineRule="auto"/>
        <w:ind w:firstLine="760"/>
        <w:jc w:val="both"/>
        <w:rPr>
          <w:rFonts w:eastAsia="Times New Roman"/>
          <w:i w:val="0"/>
          <w:iCs w:val="0"/>
          <w:color w:val="333333"/>
          <w:spacing w:val="0"/>
          <w:kern w:val="0"/>
          <w:sz w:val="27"/>
          <w:szCs w:val="27"/>
          <w:lang w:eastAsia="uk-UA"/>
        </w:rPr>
      </w:pPr>
    </w:p>
    <w:p w:rsidR="00781F19" w:rsidRDefault="00781F19" w:rsidP="00781F19">
      <w:pPr>
        <w:pStyle w:val="Bodytext21"/>
        <w:shd w:val="clear" w:color="auto" w:fill="auto"/>
        <w:spacing w:before="0" w:line="240" w:lineRule="auto"/>
        <w:ind w:firstLine="760"/>
        <w:jc w:val="both"/>
        <w:rPr>
          <w:rFonts w:eastAsia="Times New Roman"/>
          <w:b/>
          <w:bCs/>
          <w:i w:val="0"/>
          <w:iCs w:val="0"/>
          <w:color w:val="333333"/>
          <w:spacing w:val="0"/>
          <w:kern w:val="0"/>
          <w:sz w:val="27"/>
          <w:szCs w:val="27"/>
          <w:lang w:eastAsia="uk-UA"/>
        </w:rPr>
      </w:pPr>
      <w:r w:rsidRPr="003D0896">
        <w:rPr>
          <w:rFonts w:eastAsia="Times New Roman"/>
          <w:i w:val="0"/>
          <w:iCs w:val="0"/>
          <w:color w:val="333333"/>
          <w:spacing w:val="0"/>
          <w:kern w:val="0"/>
          <w:sz w:val="27"/>
          <w:szCs w:val="27"/>
          <w:lang w:eastAsia="uk-UA"/>
        </w:rPr>
        <w:t xml:space="preserve">Сплата податкового зобов’язання здійснюється фізичною особою </w:t>
      </w:r>
      <w:r w:rsidRPr="003D0896">
        <w:rPr>
          <w:rFonts w:eastAsia="Times New Roman"/>
          <w:b/>
          <w:bCs/>
          <w:i w:val="0"/>
          <w:iCs w:val="0"/>
          <w:color w:val="333333"/>
          <w:spacing w:val="0"/>
          <w:kern w:val="0"/>
          <w:sz w:val="27"/>
          <w:szCs w:val="27"/>
          <w:lang w:eastAsia="uk-UA"/>
        </w:rPr>
        <w:t xml:space="preserve">протягом </w:t>
      </w:r>
      <w:r w:rsidRPr="003D0896">
        <w:rPr>
          <w:rFonts w:eastAsia="Times New Roman"/>
          <w:i w:val="0"/>
          <w:iCs w:val="0"/>
          <w:color w:val="333333"/>
          <w:spacing w:val="0"/>
          <w:kern w:val="0"/>
          <w:sz w:val="27"/>
          <w:szCs w:val="27"/>
          <w:lang w:eastAsia="uk-UA"/>
        </w:rPr>
        <w:t xml:space="preserve">60 </w:t>
      </w:r>
      <w:r w:rsidRPr="003D0896">
        <w:rPr>
          <w:rFonts w:eastAsia="Times New Roman"/>
          <w:b/>
          <w:bCs/>
          <w:i w:val="0"/>
          <w:iCs w:val="0"/>
          <w:color w:val="333333"/>
          <w:spacing w:val="0"/>
          <w:kern w:val="0"/>
          <w:sz w:val="27"/>
          <w:szCs w:val="27"/>
          <w:lang w:eastAsia="uk-UA"/>
        </w:rPr>
        <w:t xml:space="preserve">днів </w:t>
      </w:r>
      <w:r w:rsidRPr="003D0896">
        <w:rPr>
          <w:rFonts w:eastAsia="Times New Roman"/>
          <w:i w:val="0"/>
          <w:iCs w:val="0"/>
          <w:color w:val="333333"/>
          <w:spacing w:val="0"/>
          <w:kern w:val="0"/>
          <w:sz w:val="27"/>
          <w:szCs w:val="27"/>
          <w:lang w:eastAsia="uk-UA"/>
        </w:rPr>
        <w:t xml:space="preserve">з </w:t>
      </w:r>
      <w:r w:rsidRPr="003D0896">
        <w:rPr>
          <w:rFonts w:eastAsia="Times New Roman"/>
          <w:b/>
          <w:bCs/>
          <w:i w:val="0"/>
          <w:iCs w:val="0"/>
          <w:color w:val="333333"/>
          <w:spacing w:val="0"/>
          <w:kern w:val="0"/>
          <w:sz w:val="27"/>
          <w:szCs w:val="27"/>
          <w:lang w:eastAsia="uk-UA"/>
        </w:rPr>
        <w:t>дня вручення податкового повідомлення-рішення.</w:t>
      </w:r>
    </w:p>
    <w:p w:rsidR="00430F4D" w:rsidRDefault="00430F4D" w:rsidP="00781F19">
      <w:pPr>
        <w:pStyle w:val="1"/>
        <w:shd w:val="clear" w:color="auto" w:fill="auto"/>
        <w:spacing w:line="240" w:lineRule="auto"/>
        <w:ind w:firstLine="640"/>
        <w:rPr>
          <w:rFonts w:eastAsia="Times New Roman"/>
          <w:b/>
          <w:bCs/>
          <w:i/>
          <w:iCs/>
          <w:color w:val="333333"/>
          <w:spacing w:val="0"/>
          <w:kern w:val="0"/>
          <w:sz w:val="16"/>
          <w:szCs w:val="16"/>
          <w:lang w:eastAsia="uk-UA"/>
        </w:rPr>
      </w:pPr>
    </w:p>
    <w:p w:rsidR="00364D57" w:rsidRPr="00364D57" w:rsidRDefault="00364D57" w:rsidP="00364D57">
      <w:pPr>
        <w:pStyle w:val="Bodytext21"/>
        <w:shd w:val="clear" w:color="auto" w:fill="auto"/>
        <w:spacing w:before="0" w:line="240" w:lineRule="auto"/>
        <w:ind w:left="20" w:right="40" w:firstLine="640"/>
        <w:jc w:val="both"/>
        <w:rPr>
          <w:rFonts w:eastAsia="Times New Roman"/>
          <w:i w:val="0"/>
          <w:iCs w:val="0"/>
          <w:color w:val="333333"/>
          <w:spacing w:val="0"/>
          <w:kern w:val="0"/>
          <w:sz w:val="27"/>
          <w:szCs w:val="27"/>
          <w:lang w:eastAsia="uk-UA"/>
        </w:rPr>
      </w:pPr>
      <w:r w:rsidRPr="00364D57">
        <w:rPr>
          <w:rFonts w:eastAsia="Times New Roman"/>
          <w:b/>
          <w:i w:val="0"/>
          <w:color w:val="333333"/>
          <w:spacing w:val="0"/>
          <w:kern w:val="0"/>
          <w:sz w:val="27"/>
          <w:szCs w:val="27"/>
          <w:lang w:eastAsia="uk-UA"/>
        </w:rPr>
        <w:t>Реквізити</w:t>
      </w:r>
      <w:r w:rsidRPr="00364D57">
        <w:rPr>
          <w:rFonts w:eastAsia="Times New Roman"/>
          <w:i w:val="0"/>
          <w:color w:val="333333"/>
          <w:spacing w:val="0"/>
          <w:kern w:val="0"/>
          <w:sz w:val="27"/>
          <w:szCs w:val="27"/>
          <w:lang w:eastAsia="uk-UA"/>
        </w:rPr>
        <w:t xml:space="preserve"> </w:t>
      </w:r>
      <w:r w:rsidRPr="00364D57">
        <w:rPr>
          <w:rFonts w:eastAsia="Times New Roman"/>
          <w:b/>
          <w:i w:val="0"/>
          <w:color w:val="333333"/>
          <w:spacing w:val="0"/>
          <w:kern w:val="0"/>
          <w:sz w:val="27"/>
          <w:szCs w:val="27"/>
          <w:lang w:eastAsia="uk-UA"/>
        </w:rPr>
        <w:t>для сплати МП</w:t>
      </w:r>
      <w:r w:rsidRPr="00364D57">
        <w:rPr>
          <w:rFonts w:eastAsia="Times New Roman"/>
          <w:i w:val="0"/>
          <w:color w:val="333333"/>
          <w:spacing w:val="0"/>
          <w:kern w:val="0"/>
          <w:sz w:val="27"/>
          <w:szCs w:val="27"/>
          <w:lang w:eastAsia="uk-UA"/>
        </w:rPr>
        <w:t xml:space="preserve">З зазначаються в податковому повідомленні-рішенні. Крім того, інформація про чинні реквізити бюджетних/небюджетних рахунків розміщена на </w:t>
      </w:r>
      <w:proofErr w:type="spellStart"/>
      <w:r w:rsidRPr="00364D57">
        <w:rPr>
          <w:rFonts w:eastAsia="Times New Roman"/>
          <w:i w:val="0"/>
          <w:color w:val="333333"/>
          <w:spacing w:val="0"/>
          <w:kern w:val="0"/>
          <w:sz w:val="27"/>
          <w:szCs w:val="27"/>
          <w:lang w:eastAsia="uk-UA"/>
        </w:rPr>
        <w:t>субсайті</w:t>
      </w:r>
      <w:proofErr w:type="spellEnd"/>
      <w:r w:rsidRPr="00364D57">
        <w:rPr>
          <w:rFonts w:eastAsia="Times New Roman"/>
          <w:i w:val="0"/>
          <w:color w:val="333333"/>
          <w:spacing w:val="0"/>
          <w:kern w:val="0"/>
          <w:sz w:val="27"/>
          <w:szCs w:val="27"/>
          <w:lang w:eastAsia="uk-UA"/>
        </w:rPr>
        <w:t xml:space="preserve"> ДПС за посиланням:</w:t>
      </w:r>
    </w:p>
    <w:p w:rsidR="00364D57" w:rsidRDefault="00364D57" w:rsidP="00364D57">
      <w:pPr>
        <w:pStyle w:val="Bodytext61"/>
        <w:shd w:val="clear" w:color="auto" w:fill="auto"/>
        <w:spacing w:after="0" w:line="240" w:lineRule="auto"/>
        <w:ind w:left="2660"/>
        <w:jc w:val="both"/>
        <w:rPr>
          <w:rFonts w:eastAsia="Times New Roman"/>
          <w:b w:val="0"/>
          <w:bCs w:val="0"/>
          <w:color w:val="333333"/>
          <w:spacing w:val="0"/>
          <w:kern w:val="0"/>
          <w:sz w:val="16"/>
          <w:szCs w:val="16"/>
          <w:lang w:val="uk-UA" w:eastAsia="uk-UA"/>
        </w:rPr>
      </w:pPr>
    </w:p>
    <w:p w:rsidR="00364D57" w:rsidRPr="00364D57" w:rsidRDefault="001B7BD5" w:rsidP="00364D57">
      <w:pPr>
        <w:pStyle w:val="Bodytext61"/>
        <w:shd w:val="clear" w:color="auto" w:fill="auto"/>
        <w:spacing w:after="0" w:line="240" w:lineRule="auto"/>
        <w:ind w:left="2660"/>
        <w:jc w:val="both"/>
        <w:rPr>
          <w:rFonts w:eastAsia="Times New Roman"/>
          <w:b w:val="0"/>
          <w:bCs w:val="0"/>
          <w:i/>
          <w:color w:val="333333"/>
          <w:spacing w:val="0"/>
          <w:kern w:val="0"/>
          <w:sz w:val="27"/>
          <w:szCs w:val="27"/>
          <w:lang w:val="uk-UA" w:eastAsia="uk-UA"/>
        </w:rPr>
      </w:pPr>
      <w:hyperlink r:id="rId7" w:history="1">
        <w:r w:rsidR="00364D57" w:rsidRPr="00364D57">
          <w:rPr>
            <w:rFonts w:eastAsia="Times New Roman"/>
            <w:b w:val="0"/>
            <w:bCs w:val="0"/>
            <w:i/>
            <w:color w:val="333333"/>
            <w:spacing w:val="0"/>
            <w:kern w:val="0"/>
            <w:sz w:val="27"/>
            <w:szCs w:val="27"/>
            <w:lang w:val="uk-UA" w:eastAsia="uk-UA"/>
          </w:rPr>
          <w:t>https://tax.gov.ua/byudjetni-rahunki/</w:t>
        </w:r>
      </w:hyperlink>
    </w:p>
    <w:p w:rsidR="00364D57" w:rsidRDefault="00364D57" w:rsidP="00781F19">
      <w:pPr>
        <w:pStyle w:val="1"/>
        <w:shd w:val="clear" w:color="auto" w:fill="auto"/>
        <w:spacing w:line="240" w:lineRule="auto"/>
        <w:ind w:firstLine="640"/>
        <w:rPr>
          <w:rFonts w:eastAsia="Times New Roman"/>
          <w:color w:val="333333"/>
          <w:spacing w:val="0"/>
          <w:kern w:val="0"/>
          <w:sz w:val="27"/>
          <w:szCs w:val="27"/>
          <w:lang w:eastAsia="uk-UA"/>
        </w:rPr>
      </w:pPr>
    </w:p>
    <w:p w:rsidR="00781F19" w:rsidRPr="003D0896" w:rsidRDefault="00430F4D" w:rsidP="00781F19">
      <w:pPr>
        <w:pStyle w:val="1"/>
        <w:shd w:val="clear" w:color="auto" w:fill="auto"/>
        <w:spacing w:line="240" w:lineRule="auto"/>
        <w:ind w:firstLine="640"/>
        <w:rPr>
          <w:rFonts w:eastAsia="Times New Roman"/>
          <w:color w:val="333333"/>
          <w:spacing w:val="0"/>
          <w:kern w:val="0"/>
          <w:sz w:val="27"/>
          <w:szCs w:val="27"/>
          <w:highlight w:val="yellow"/>
          <w:lang w:eastAsia="uk-UA"/>
        </w:rPr>
      </w:pPr>
      <w:r>
        <w:rPr>
          <w:rFonts w:eastAsia="Times New Roman"/>
          <w:color w:val="333333"/>
          <w:spacing w:val="0"/>
          <w:kern w:val="0"/>
          <w:sz w:val="27"/>
          <w:szCs w:val="27"/>
          <w:lang w:eastAsia="uk-UA"/>
        </w:rPr>
        <w:t>Ф</w:t>
      </w:r>
      <w:r w:rsidR="00781F19" w:rsidRPr="003D0896">
        <w:rPr>
          <w:rFonts w:eastAsia="Times New Roman"/>
          <w:color w:val="333333"/>
          <w:spacing w:val="0"/>
          <w:kern w:val="0"/>
          <w:sz w:val="27"/>
          <w:szCs w:val="27"/>
          <w:lang w:eastAsia="uk-UA"/>
        </w:rPr>
        <w:t xml:space="preserve">ізична особа у разі незгоди з визначеним контролюючим органом загальним мінімальним податковим зобов’язанням та/або розрахованою у відповідному податковому повідомленні-рішенні сумою річного податкового зобов’язання з податку такий платник податку </w:t>
      </w:r>
      <w:r w:rsidR="00781F19" w:rsidRPr="0077748C">
        <w:rPr>
          <w:rFonts w:eastAsia="Times New Roman"/>
          <w:b/>
          <w:bCs/>
          <w:iCs/>
          <w:color w:val="333333"/>
          <w:spacing w:val="0"/>
          <w:kern w:val="0"/>
          <w:sz w:val="27"/>
          <w:szCs w:val="27"/>
          <w:lang w:eastAsia="uk-UA"/>
        </w:rPr>
        <w:t>має право протягом ЗО днів з дня вручення податкового повідомлення-рішення</w:t>
      </w:r>
      <w:r w:rsidR="00781F19" w:rsidRPr="003D0896">
        <w:rPr>
          <w:rFonts w:eastAsia="Times New Roman"/>
          <w:color w:val="333333"/>
          <w:kern w:val="0"/>
          <w:sz w:val="27"/>
          <w:szCs w:val="27"/>
          <w:lang w:eastAsia="uk-UA"/>
        </w:rPr>
        <w:t xml:space="preserve"> </w:t>
      </w:r>
      <w:r w:rsidR="00781F19" w:rsidRPr="003D0896">
        <w:rPr>
          <w:rFonts w:eastAsia="Times New Roman"/>
          <w:color w:val="333333"/>
          <w:spacing w:val="0"/>
          <w:kern w:val="0"/>
          <w:sz w:val="27"/>
          <w:szCs w:val="27"/>
          <w:lang w:eastAsia="uk-UA"/>
        </w:rPr>
        <w:t xml:space="preserve">звернутися до контролюючого </w:t>
      </w:r>
      <w:r w:rsidR="00781F19" w:rsidRPr="003D0896">
        <w:rPr>
          <w:rFonts w:eastAsia="Times New Roman"/>
          <w:color w:val="333333"/>
          <w:spacing w:val="0"/>
          <w:kern w:val="0"/>
          <w:sz w:val="27"/>
          <w:szCs w:val="27"/>
          <w:lang w:eastAsia="uk-UA"/>
        </w:rPr>
        <w:lastRenderedPageBreak/>
        <w:t>органу для проведення звірки даних, використаних для розрахунку суми податку, з наданням підтвердних документів, зокрема щодо;</w:t>
      </w:r>
    </w:p>
    <w:p w:rsidR="00781F19" w:rsidRPr="0077748C" w:rsidRDefault="00781F19" w:rsidP="00781F19">
      <w:pPr>
        <w:pStyle w:val="1"/>
        <w:numPr>
          <w:ilvl w:val="0"/>
          <w:numId w:val="7"/>
        </w:numPr>
        <w:shd w:val="clear" w:color="auto" w:fill="auto"/>
        <w:spacing w:line="240" w:lineRule="auto"/>
        <w:ind w:firstLine="640"/>
        <w:rPr>
          <w:rFonts w:eastAsia="Times New Roman"/>
          <w:color w:val="333333"/>
          <w:spacing w:val="0"/>
          <w:kern w:val="0"/>
          <w:sz w:val="27"/>
          <w:szCs w:val="27"/>
          <w:lang w:eastAsia="uk-UA"/>
        </w:rPr>
      </w:pPr>
      <w:r w:rsidRPr="003D0896">
        <w:rPr>
          <w:rFonts w:eastAsia="Times New Roman"/>
          <w:color w:val="333333"/>
          <w:spacing w:val="0"/>
          <w:kern w:val="0"/>
          <w:sz w:val="27"/>
          <w:szCs w:val="27"/>
          <w:lang w:eastAsia="uk-UA"/>
        </w:rPr>
        <w:t xml:space="preserve"> </w:t>
      </w:r>
      <w:r w:rsidRPr="0077748C">
        <w:rPr>
          <w:rFonts w:eastAsia="Times New Roman"/>
          <w:color w:val="333333"/>
          <w:spacing w:val="0"/>
          <w:kern w:val="0"/>
          <w:sz w:val="27"/>
          <w:szCs w:val="27"/>
          <w:lang w:eastAsia="uk-UA"/>
        </w:rPr>
        <w:t>земельних ділянок, що знаходяться у платника податку у власності та/або постійному користуванні або в оренді (суборенді, емфітевзисі), їх нормативної грошової оцінки та площі;</w:t>
      </w:r>
    </w:p>
    <w:p w:rsidR="00781F19" w:rsidRPr="0077748C" w:rsidRDefault="00781F19" w:rsidP="00781F19">
      <w:pPr>
        <w:pStyle w:val="1"/>
        <w:numPr>
          <w:ilvl w:val="0"/>
          <w:numId w:val="7"/>
        </w:numPr>
        <w:shd w:val="clear" w:color="auto" w:fill="auto"/>
        <w:spacing w:line="240" w:lineRule="auto"/>
        <w:ind w:firstLine="640"/>
        <w:rPr>
          <w:rFonts w:eastAsia="Times New Roman"/>
          <w:color w:val="333333"/>
          <w:spacing w:val="0"/>
          <w:kern w:val="0"/>
          <w:sz w:val="27"/>
          <w:szCs w:val="27"/>
          <w:lang w:eastAsia="uk-UA"/>
        </w:rPr>
      </w:pPr>
      <w:r w:rsidRPr="0077748C">
        <w:rPr>
          <w:rFonts w:eastAsia="Times New Roman"/>
          <w:color w:val="333333"/>
          <w:spacing w:val="0"/>
          <w:kern w:val="0"/>
          <w:sz w:val="27"/>
          <w:szCs w:val="27"/>
          <w:lang w:eastAsia="uk-UA"/>
        </w:rPr>
        <w:t xml:space="preserve"> суми доходу, отриманого від реалізації власної сільськогосподарської продукції;</w:t>
      </w:r>
    </w:p>
    <w:p w:rsidR="00781F19" w:rsidRPr="003D0896" w:rsidRDefault="00781F19" w:rsidP="00781F19">
      <w:pPr>
        <w:pStyle w:val="1"/>
        <w:numPr>
          <w:ilvl w:val="0"/>
          <w:numId w:val="7"/>
        </w:numPr>
        <w:shd w:val="clear" w:color="auto" w:fill="auto"/>
        <w:spacing w:line="240" w:lineRule="auto"/>
        <w:ind w:firstLine="640"/>
        <w:rPr>
          <w:rFonts w:eastAsia="Times New Roman"/>
          <w:color w:val="333333"/>
          <w:spacing w:val="0"/>
          <w:kern w:val="0"/>
          <w:sz w:val="27"/>
          <w:szCs w:val="27"/>
          <w:lang w:eastAsia="uk-UA"/>
        </w:rPr>
      </w:pPr>
      <w:r w:rsidRPr="003D0896">
        <w:rPr>
          <w:rFonts w:eastAsia="Times New Roman"/>
          <w:color w:val="333333"/>
          <w:spacing w:val="0"/>
          <w:kern w:val="0"/>
          <w:sz w:val="27"/>
          <w:szCs w:val="27"/>
          <w:lang w:eastAsia="uk-UA"/>
        </w:rPr>
        <w:t xml:space="preserve"> суми сплачених податків, зборів, платежів.</w:t>
      </w:r>
    </w:p>
    <w:p w:rsidR="00EF7C5B" w:rsidRPr="003D0896" w:rsidRDefault="00EF7C5B" w:rsidP="0050566C">
      <w:pPr>
        <w:shd w:val="clear" w:color="auto" w:fill="FFFFFF"/>
        <w:spacing w:after="150" w:line="240" w:lineRule="auto"/>
        <w:jc w:val="both"/>
        <w:rPr>
          <w:rFonts w:ascii="e-Ukraine" w:eastAsia="Times New Roman" w:hAnsi="e-Ukraine" w:cs="Times New Roman"/>
          <w:b/>
          <w:bCs/>
          <w:color w:val="333333"/>
          <w:kern w:val="0"/>
          <w:sz w:val="23"/>
          <w:szCs w:val="23"/>
          <w:highlight w:val="yellow"/>
          <w:lang w:eastAsia="uk-UA"/>
        </w:rPr>
      </w:pPr>
    </w:p>
    <w:p w:rsidR="0050566C" w:rsidRPr="0077748C" w:rsidRDefault="0050566C" w:rsidP="00803CDA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77748C"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uk-UA"/>
        </w:rPr>
        <w:t>Як звітувати за МПЗ?</w:t>
      </w:r>
    </w:p>
    <w:p w:rsidR="0050566C" w:rsidRPr="0077748C" w:rsidRDefault="0050566C" w:rsidP="005056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77748C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Платникам – фізичним особам не потрібно самостійно звітувати за МПЗ. Замість них податкова до 1 липня поточного року самостійно визначатиме розмір загального МПЗ і надсилатиме податкове повідомлення-рішення.</w:t>
      </w:r>
    </w:p>
    <w:p w:rsidR="0077748C" w:rsidRPr="0077748C" w:rsidRDefault="0077748C" w:rsidP="00803CDA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uk-UA"/>
        </w:rPr>
      </w:pPr>
      <w:r w:rsidRPr="0077748C"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:lang w:eastAsia="uk-UA"/>
        </w:rPr>
        <w:t>Відповідальність</w:t>
      </w:r>
    </w:p>
    <w:p w:rsidR="0077748C" w:rsidRPr="0077748C" w:rsidRDefault="0077748C" w:rsidP="007774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</w:pPr>
      <w:r w:rsidRPr="0077748C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 xml:space="preserve">Податковим законодавством не встановлено окремої відповідальності щодо МПЗ, але у разі несплати або несвоєчасної сплати МПЗ будуть застосовуватись штрафні санкції, передбачені статтею 123 та 124 </w:t>
      </w:r>
      <w:r w:rsidR="0067084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ПКУ</w:t>
      </w:r>
      <w:r w:rsidRPr="0077748C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eastAsia="uk-UA"/>
        </w:rPr>
        <w:t>.</w:t>
      </w:r>
    </w:p>
    <w:p w:rsidR="0050566C" w:rsidRPr="003D0896" w:rsidRDefault="0050566C" w:rsidP="0050566C">
      <w:pPr>
        <w:shd w:val="clear" w:color="auto" w:fill="FFFFFF"/>
        <w:spacing w:after="150" w:line="240" w:lineRule="auto"/>
        <w:jc w:val="both"/>
        <w:rPr>
          <w:rFonts w:ascii="e-Ukraine" w:eastAsia="Times New Roman" w:hAnsi="e-Ukraine" w:cs="Times New Roman"/>
          <w:color w:val="333333"/>
          <w:kern w:val="0"/>
          <w:sz w:val="23"/>
          <w:szCs w:val="23"/>
          <w:highlight w:val="yellow"/>
          <w:lang w:eastAsia="uk-UA"/>
        </w:rPr>
      </w:pPr>
    </w:p>
    <w:p w:rsidR="005D1D19" w:rsidRDefault="005D1D19"/>
    <w:sectPr w:rsidR="005D1D19" w:rsidSect="00E943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0B057691"/>
    <w:multiLevelType w:val="multilevel"/>
    <w:tmpl w:val="E5CE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E7B30"/>
    <w:multiLevelType w:val="multilevel"/>
    <w:tmpl w:val="52F2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C0375"/>
    <w:multiLevelType w:val="multilevel"/>
    <w:tmpl w:val="BC7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27576"/>
    <w:multiLevelType w:val="multilevel"/>
    <w:tmpl w:val="DD96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E371A"/>
    <w:multiLevelType w:val="multilevel"/>
    <w:tmpl w:val="2CB6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64A5F"/>
    <w:multiLevelType w:val="multilevel"/>
    <w:tmpl w:val="B894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6C"/>
    <w:rsid w:val="001177BF"/>
    <w:rsid w:val="00192F1C"/>
    <w:rsid w:val="001B7BD5"/>
    <w:rsid w:val="002007C0"/>
    <w:rsid w:val="00272B55"/>
    <w:rsid w:val="00353A93"/>
    <w:rsid w:val="00364D57"/>
    <w:rsid w:val="00366272"/>
    <w:rsid w:val="00374723"/>
    <w:rsid w:val="003D0896"/>
    <w:rsid w:val="00415C5A"/>
    <w:rsid w:val="00430F4D"/>
    <w:rsid w:val="0050566C"/>
    <w:rsid w:val="005066D4"/>
    <w:rsid w:val="005669EE"/>
    <w:rsid w:val="00593C85"/>
    <w:rsid w:val="005D1D19"/>
    <w:rsid w:val="00607CB7"/>
    <w:rsid w:val="006108C7"/>
    <w:rsid w:val="00660336"/>
    <w:rsid w:val="00670262"/>
    <w:rsid w:val="00670846"/>
    <w:rsid w:val="0077748C"/>
    <w:rsid w:val="00781259"/>
    <w:rsid w:val="00781F19"/>
    <w:rsid w:val="00803CDA"/>
    <w:rsid w:val="00867E15"/>
    <w:rsid w:val="0098610B"/>
    <w:rsid w:val="009A623B"/>
    <w:rsid w:val="009E0DE4"/>
    <w:rsid w:val="00A51BF0"/>
    <w:rsid w:val="00C01046"/>
    <w:rsid w:val="00C76931"/>
    <w:rsid w:val="00D77360"/>
    <w:rsid w:val="00DE7A54"/>
    <w:rsid w:val="00DF21D2"/>
    <w:rsid w:val="00E369C4"/>
    <w:rsid w:val="00E71D82"/>
    <w:rsid w:val="00E94388"/>
    <w:rsid w:val="00EB1069"/>
    <w:rsid w:val="00EB5437"/>
    <w:rsid w:val="00EF7C5B"/>
    <w:rsid w:val="00FF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ABE0E-50ED-4401-969F-E89A1F24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0566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51BF0"/>
    <w:pPr>
      <w:ind w:left="720"/>
      <w:contextualSpacing/>
    </w:pPr>
  </w:style>
  <w:style w:type="character" w:customStyle="1" w:styleId="Bodytext">
    <w:name w:val="Body text_"/>
    <w:basedOn w:val="a0"/>
    <w:link w:val="1"/>
    <w:uiPriority w:val="99"/>
    <w:rsid w:val="005669EE"/>
    <w:rPr>
      <w:rFonts w:ascii="Times New Roman" w:hAnsi="Times New Roman" w:cs="Times New Roman"/>
      <w:spacing w:val="-6"/>
      <w:sz w:val="30"/>
      <w:szCs w:val="30"/>
      <w:shd w:val="clear" w:color="auto" w:fill="FFFFFF"/>
    </w:rPr>
  </w:style>
  <w:style w:type="paragraph" w:customStyle="1" w:styleId="1">
    <w:name w:val="Основний текст1"/>
    <w:basedOn w:val="a"/>
    <w:link w:val="Bodytext"/>
    <w:uiPriority w:val="99"/>
    <w:rsid w:val="005669EE"/>
    <w:pPr>
      <w:widowControl w:val="0"/>
      <w:shd w:val="clear" w:color="auto" w:fill="FFFFFF"/>
      <w:spacing w:after="0" w:line="544" w:lineRule="exact"/>
      <w:ind w:firstLine="580"/>
      <w:jc w:val="both"/>
    </w:pPr>
    <w:rPr>
      <w:rFonts w:ascii="Times New Roman" w:hAnsi="Times New Roman" w:cs="Times New Roman"/>
      <w:spacing w:val="-6"/>
      <w:sz w:val="30"/>
      <w:szCs w:val="30"/>
    </w:rPr>
  </w:style>
  <w:style w:type="character" w:customStyle="1" w:styleId="Bodytext2">
    <w:name w:val="Body text (2)_"/>
    <w:basedOn w:val="a0"/>
    <w:link w:val="Bodytext21"/>
    <w:uiPriority w:val="99"/>
    <w:rsid w:val="00781F19"/>
    <w:rPr>
      <w:rFonts w:ascii="Times New Roman" w:hAnsi="Times New Roman" w:cs="Times New Roman"/>
      <w:i/>
      <w:iCs/>
      <w:spacing w:val="-6"/>
      <w:sz w:val="30"/>
      <w:szCs w:val="30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781F19"/>
    <w:rPr>
      <w:rFonts w:ascii="Times New Roman" w:hAnsi="Times New Roman" w:cs="Times New Roman"/>
      <w:i/>
      <w:iCs/>
      <w:spacing w:val="-6"/>
      <w:sz w:val="30"/>
      <w:szCs w:val="30"/>
      <w:u w:val="single"/>
      <w:shd w:val="clear" w:color="auto" w:fill="FFFFFF"/>
    </w:rPr>
  </w:style>
  <w:style w:type="character" w:customStyle="1" w:styleId="Bodytext2Bold">
    <w:name w:val="Body text (2) + Bold"/>
    <w:aliases w:val="Spacing 0 pt5"/>
    <w:basedOn w:val="Bodytext2"/>
    <w:uiPriority w:val="99"/>
    <w:rsid w:val="00781F19"/>
    <w:rPr>
      <w:rFonts w:ascii="Times New Roman" w:hAnsi="Times New Roman" w:cs="Times New Roman"/>
      <w:b/>
      <w:bCs/>
      <w:i/>
      <w:iCs/>
      <w:spacing w:val="-5"/>
      <w:sz w:val="30"/>
      <w:szCs w:val="30"/>
      <w:u w:val="single"/>
      <w:shd w:val="clear" w:color="auto" w:fill="FFFFFF"/>
    </w:rPr>
  </w:style>
  <w:style w:type="character" w:customStyle="1" w:styleId="Bodytext2Bold1">
    <w:name w:val="Body text (2) + Bold1"/>
    <w:aliases w:val="Spacing 0 pt4"/>
    <w:basedOn w:val="Bodytext2"/>
    <w:uiPriority w:val="99"/>
    <w:rsid w:val="00781F19"/>
    <w:rPr>
      <w:rFonts w:ascii="Times New Roman" w:hAnsi="Times New Roman" w:cs="Times New Roman"/>
      <w:b/>
      <w:bCs/>
      <w:i/>
      <w:iCs/>
      <w:noProof/>
      <w:spacing w:val="-5"/>
      <w:sz w:val="30"/>
      <w:szCs w:val="30"/>
      <w:shd w:val="clear" w:color="auto" w:fill="FFFFFF"/>
    </w:rPr>
  </w:style>
  <w:style w:type="character" w:customStyle="1" w:styleId="BodytextBold">
    <w:name w:val="Body text + Bold"/>
    <w:aliases w:val="Italic,Spacing 0 pt3"/>
    <w:basedOn w:val="Bodytext"/>
    <w:uiPriority w:val="99"/>
    <w:rsid w:val="00781F19"/>
    <w:rPr>
      <w:rFonts w:ascii="Times New Roman" w:hAnsi="Times New Roman" w:cs="Times New Roman"/>
      <w:b/>
      <w:bCs/>
      <w:i/>
      <w:iCs/>
      <w:spacing w:val="-5"/>
      <w:sz w:val="30"/>
      <w:szCs w:val="30"/>
      <w:u w:val="none"/>
      <w:shd w:val="clear" w:color="auto" w:fill="FFFFFF"/>
    </w:rPr>
  </w:style>
  <w:style w:type="character" w:customStyle="1" w:styleId="BodytextBold1">
    <w:name w:val="Body text + Bold1"/>
    <w:aliases w:val="Italic1,Spacing 0 pt2"/>
    <w:basedOn w:val="Bodytext"/>
    <w:uiPriority w:val="99"/>
    <w:rsid w:val="00781F19"/>
    <w:rPr>
      <w:rFonts w:ascii="Times New Roman" w:hAnsi="Times New Roman" w:cs="Times New Roman"/>
      <w:b/>
      <w:bCs/>
      <w:i/>
      <w:iCs/>
      <w:spacing w:val="-5"/>
      <w:sz w:val="30"/>
      <w:szCs w:val="30"/>
      <w:u w:val="single"/>
      <w:shd w:val="clear" w:color="auto" w:fill="FFFFFF"/>
    </w:rPr>
  </w:style>
  <w:style w:type="character" w:customStyle="1" w:styleId="Bodytext23pt">
    <w:name w:val="Body text + 23 pt"/>
    <w:aliases w:val="Spacing 0 pt1"/>
    <w:basedOn w:val="Bodytext"/>
    <w:uiPriority w:val="99"/>
    <w:rsid w:val="00781F19"/>
    <w:rPr>
      <w:rFonts w:ascii="Times New Roman" w:hAnsi="Times New Roman" w:cs="Times New Roman"/>
      <w:spacing w:val="0"/>
      <w:sz w:val="46"/>
      <w:szCs w:val="46"/>
      <w:u w:val="none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781F19"/>
    <w:pPr>
      <w:widowControl w:val="0"/>
      <w:shd w:val="clear" w:color="auto" w:fill="FFFFFF"/>
      <w:spacing w:before="1200" w:after="0" w:line="270" w:lineRule="exact"/>
      <w:jc w:val="right"/>
    </w:pPr>
    <w:rPr>
      <w:rFonts w:ascii="Times New Roman" w:hAnsi="Times New Roman" w:cs="Times New Roman"/>
      <w:i/>
      <w:iCs/>
      <w:spacing w:val="-6"/>
      <w:sz w:val="30"/>
      <w:szCs w:val="30"/>
    </w:rPr>
  </w:style>
  <w:style w:type="character" w:customStyle="1" w:styleId="Bodytext2NotItalic">
    <w:name w:val="Body text (2) + Not Italic"/>
    <w:basedOn w:val="Bodytext2"/>
    <w:uiPriority w:val="99"/>
    <w:rsid w:val="00364D57"/>
    <w:rPr>
      <w:rFonts w:ascii="Times New Roman" w:hAnsi="Times New Roman" w:cs="Times New Roman"/>
      <w:i/>
      <w:iCs/>
      <w:spacing w:val="-6"/>
      <w:sz w:val="30"/>
      <w:szCs w:val="30"/>
      <w:u w:val="single"/>
      <w:shd w:val="clear" w:color="auto" w:fill="FFFFFF"/>
    </w:rPr>
  </w:style>
  <w:style w:type="character" w:customStyle="1" w:styleId="Bodytext2NotItalic1">
    <w:name w:val="Body text (2) + Not Italic1"/>
    <w:basedOn w:val="Bodytext2"/>
    <w:uiPriority w:val="99"/>
    <w:rsid w:val="00364D57"/>
    <w:rPr>
      <w:rFonts w:ascii="Times New Roman" w:hAnsi="Times New Roman" w:cs="Times New Roman"/>
      <w:i/>
      <w:iCs/>
      <w:spacing w:val="-6"/>
      <w:sz w:val="30"/>
      <w:szCs w:val="30"/>
      <w:u w:val="none"/>
      <w:shd w:val="clear" w:color="auto" w:fill="FFFFFF"/>
    </w:rPr>
  </w:style>
  <w:style w:type="character" w:customStyle="1" w:styleId="Bodytext6">
    <w:name w:val="Body text (6)_"/>
    <w:basedOn w:val="a0"/>
    <w:link w:val="Bodytext61"/>
    <w:uiPriority w:val="99"/>
    <w:rsid w:val="00364D57"/>
    <w:rPr>
      <w:rFonts w:ascii="Times New Roman" w:hAnsi="Times New Roman" w:cs="Times New Roman"/>
      <w:b/>
      <w:bCs/>
      <w:spacing w:val="1"/>
      <w:sz w:val="28"/>
      <w:szCs w:val="28"/>
      <w:shd w:val="clear" w:color="auto" w:fill="FFFFFF"/>
      <w:lang w:val="en-US"/>
    </w:rPr>
  </w:style>
  <w:style w:type="paragraph" w:customStyle="1" w:styleId="Bodytext61">
    <w:name w:val="Body text (6)1"/>
    <w:basedOn w:val="a"/>
    <w:link w:val="Bodytext6"/>
    <w:uiPriority w:val="99"/>
    <w:rsid w:val="00364D57"/>
    <w:pPr>
      <w:widowControl w:val="0"/>
      <w:shd w:val="clear" w:color="auto" w:fill="FFFFFF"/>
      <w:spacing w:after="480" w:line="544" w:lineRule="exact"/>
    </w:pPr>
    <w:rPr>
      <w:rFonts w:ascii="Times New Roman" w:hAnsi="Times New Roman" w:cs="Times New Roman"/>
      <w:b/>
      <w:bCs/>
      <w:spacing w:val="1"/>
      <w:sz w:val="28"/>
      <w:szCs w:val="28"/>
      <w:lang w:val="en-US"/>
    </w:rPr>
  </w:style>
  <w:style w:type="paragraph" w:styleId="a6">
    <w:name w:val="Document Map"/>
    <w:basedOn w:val="a"/>
    <w:link w:val="a7"/>
    <w:uiPriority w:val="99"/>
    <w:semiHidden/>
    <w:unhideWhenUsed/>
    <w:rsid w:val="0080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803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2106">
          <w:blockQuote w:val="1"/>
          <w:marLeft w:val="600"/>
          <w:marRight w:val="0"/>
          <w:marTop w:val="180"/>
          <w:marBottom w:val="180"/>
          <w:divBdr>
            <w:top w:val="single" w:sz="2" w:space="12" w:color="CCCCCC"/>
            <w:left w:val="single" w:sz="36" w:space="12" w:color="CCCCCC"/>
            <w:bottom w:val="single" w:sz="2" w:space="12" w:color="CCCCCC"/>
            <w:right w:val="single" w:sz="2" w:space="12" w:color="CCCCCC"/>
          </w:divBdr>
        </w:div>
        <w:div w:id="1643265890">
          <w:blockQuote w:val="1"/>
          <w:marLeft w:val="600"/>
          <w:marRight w:val="0"/>
          <w:marTop w:val="180"/>
          <w:marBottom w:val="180"/>
          <w:divBdr>
            <w:top w:val="single" w:sz="2" w:space="12" w:color="CCCCCC"/>
            <w:left w:val="single" w:sz="36" w:space="12" w:color="CCCCCC"/>
            <w:bottom w:val="single" w:sz="2" w:space="12" w:color="CCCCCC"/>
            <w:right w:val="single" w:sz="2" w:space="12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x.gov.ua/byudjetni-rahun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668-22" TargetMode="External"/><Relationship Id="rId5" Type="http://schemas.openxmlformats.org/officeDocument/2006/relationships/hyperlink" Target="https://zakon.rada.gov.ua/laws/show/1364-2022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6682</Words>
  <Characters>3810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liliaafanasenko15@gmail.com</dc:creator>
  <cp:lastModifiedBy>ГІС Земля</cp:lastModifiedBy>
  <cp:revision>2</cp:revision>
  <dcterms:created xsi:type="dcterms:W3CDTF">2023-09-13T07:08:00Z</dcterms:created>
  <dcterms:modified xsi:type="dcterms:W3CDTF">2023-09-13T07:08:00Z</dcterms:modified>
</cp:coreProperties>
</file>